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ROBIN HOWARD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40"/>
        <w:spacing w:after="0" w:line="365" w:lineRule="auto"/>
        <w:rPr>
          <w:sz w:val="20"/>
          <w:szCs w:val="20"/>
          <w:color w:val="auto"/>
        </w:rPr>
      </w:pPr>
      <w:r>
        <w:rPr>
          <w:rFonts w:ascii="Times New Roman" w:cs="Times New Roman" w:eastAsia="Times New Roman" w:hAnsi="Times New Roman"/>
          <w:sz w:val="17"/>
          <w:szCs w:val="17"/>
          <w:color w:val="0000FF"/>
        </w:rPr>
        <w:t>C/O NEKTAR THERAPEUTICS 455 MISSION BAY BLVD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NEKTAR THERAPEUTICS</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NKTR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05/19/2026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80" w:lineRule="exact"/>
        <w:rPr>
          <w:sz w:val="24"/>
          <w:szCs w:val="24"/>
          <w:color w:val="auto"/>
        </w:rPr>
      </w:pPr>
    </w:p>
    <w:p>
      <w:pPr>
        <w:sectPr>
          <w:pgSz w:w="11900" w:h="16838" w:orient="portrait"/>
          <w:cols w:equalWidth="0" w:num="3">
            <w:col w:w="3200" w:space="720"/>
            <w:col w:w="3240" w:space="5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33"/>
        </w:trPr>
        <w:tc>
          <w:tcPr>
            <w:tcW w:w="40" w:type="dxa"/>
            <w:vAlign w:val="bottom"/>
          </w:tcPr>
          <w:p>
            <w:pPr>
              <w:spacing w:after="0"/>
              <w:rPr>
                <w:sz w:val="2"/>
                <w:szCs w:val="2"/>
                <w:color w:val="auto"/>
              </w:rPr>
            </w:pPr>
          </w:p>
        </w:tc>
        <w:tc>
          <w:tcPr>
            <w:tcW w:w="364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1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94158</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05/19/2026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444</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65.51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right"/>
              <w:ind w:right="337"/>
              <w:spacing w:after="0"/>
              <w:rPr>
                <w:sz w:val="20"/>
                <w:szCs w:val="20"/>
                <w:color w:val="auto"/>
              </w:rPr>
            </w:pPr>
            <w:r>
              <w:rPr>
                <w:rFonts w:ascii="Times New Roman" w:cs="Times New Roman" w:eastAsia="Times New Roman" w:hAnsi="Times New Roman"/>
                <w:sz w:val="17"/>
                <w:szCs w:val="17"/>
                <w:color w:val="0000FF"/>
              </w:rPr>
              <w:t>75,045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vMerge w:val="restart"/>
          </w:tcPr>
          <w:p>
            <w:pPr>
              <w:jc w:val="right"/>
              <w:ind w:right="477"/>
              <w:spacing w:after="0"/>
              <w:rPr>
                <w:sz w:val="20"/>
                <w:szCs w:val="20"/>
                <w:color w:val="auto"/>
              </w:rPr>
            </w:pPr>
            <w:r>
              <w:rPr>
                <w:rFonts w:ascii="Times New Roman" w:cs="Times New Roman" w:eastAsia="Times New Roman" w:hAnsi="Times New Roman"/>
                <w:sz w:val="17"/>
                <w:szCs w:val="17"/>
                <w:color w:val="0000FF"/>
              </w:rPr>
              <w:t>28</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required tax withholding obligations in connection with the vesting of the RSUs held by the reporting person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32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$64.88 to $68.43. The price reported above reflects the weighted average sale price. The reporting person hereby undertakes to provide full information regarding the number of shares and the prices at which the transactions were effected upon the request to the SEC staff, the Issuer, or a security holder of the Issuer.</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Elizabeth Zhang, Attorney-in- </w:t>
      </w:r>
      <w:r>
        <w:rPr>
          <w:rFonts w:ascii="Times New Roman" w:cs="Times New Roman" w:eastAsia="Times New Roman" w:hAnsi="Times New Roman"/>
          <w:sz w:val="33"/>
          <w:szCs w:val="33"/>
          <w:color w:val="0000FF"/>
          <w:vertAlign w:val="subscript"/>
        </w:rPr>
        <w:t>05/21/2026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8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06869" TargetMode="External"/><Relationship Id="rId14" Type="http://schemas.openxmlformats.org/officeDocument/2006/relationships/hyperlink" Target="http://www.sec.gov/cgi-bin/browse-edgar?action=getcompany&amp;CIK=00009067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2026-05-21T17:27:39Z</dcterms:created>
  <dcterms:modified xsi:type="dcterms:W3CDTF">2026-05-21T17:27:39Z</dcterms:modified>
</cp:coreProperties>
</file>