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756920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774065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45720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46" w:lineRule="exact"/>
        <w:rPr>
          <w:rFonts w:ascii="MS PGothic" w:cs="MS PGothic" w:eastAsia="MS PGothic" w:hAnsi="MS PGothic"/>
          <w:sz w:val="18"/>
          <w:szCs w:val="18"/>
          <w:color w:val="auto"/>
          <w:highlight w:val="black"/>
        </w:rPr>
      </w:pPr>
    </w:p>
    <w:p>
      <w:pPr>
        <w:ind w:left="45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3"/>
          <w:szCs w:val="13"/>
          <w:b w:val="1"/>
          <w:bCs w:val="1"/>
          <w:color w:val="auto"/>
        </w:rPr>
        <w:t>For the fiscal year ended December 31, 2025</w:t>
      </w:r>
    </w:p>
    <w:p>
      <w:pPr>
        <w:spacing w:after="0" w:line="80"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1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5"/>
          <w:szCs w:val="15"/>
          <w:b w:val="1"/>
          <w:bCs w:val="1"/>
          <w:color w:val="auto"/>
        </w:rPr>
        <w:t>TRANSITION REPORTS PURSUANT TO SECTION 13 OR 15(d) OF THE SECURITIES EXCHANGE ACT OF 1934.</w:t>
      </w:r>
    </w:p>
    <w:p>
      <w:pPr>
        <w:spacing w:after="0" w:line="101" w:lineRule="exact"/>
        <w:rPr>
          <w:sz w:val="24"/>
          <w:szCs w:val="24"/>
          <w:color w:val="auto"/>
        </w:rPr>
      </w:pPr>
    </w:p>
    <w:p>
      <w:pPr>
        <w:jc w:val="center"/>
        <w:ind w:right="-39"/>
        <w:spacing w:after="0"/>
        <w:tabs>
          <w:tab w:leader="none" w:pos="24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1"/>
          <w:szCs w:val="11"/>
          <w:b w:val="1"/>
          <w:bCs w:val="1"/>
          <w:color w:val="auto"/>
        </w:rPr>
        <w:t>to</w:t>
      </w:r>
    </w:p>
    <w:p>
      <w:pPr>
        <w:sectPr>
          <w:pgSz w:w="11900" w:h="16838" w:orient="portrait"/>
          <w:cols w:equalWidth="0" w:num="1">
            <w:col w:w="11220"/>
          </w:cols>
          <w:pgMar w:left="320" w:top="225" w:right="359" w:bottom="1440" w:gutter="0" w:footer="0" w:header="0"/>
        </w:sectPr>
      </w:pPr>
    </w:p>
    <w:p>
      <w:pPr>
        <w:spacing w:after="0" w:line="53" w:lineRule="exact"/>
        <w:rPr>
          <w:sz w:val="24"/>
          <w:szCs w:val="24"/>
          <w:color w:val="auto"/>
        </w:rPr>
      </w:pPr>
    </w:p>
    <w:p>
      <w:pPr>
        <w:jc w:val="center"/>
        <w:ind w:left="3720"/>
        <w:spacing w:after="0"/>
        <w:rPr>
          <w:sz w:val="20"/>
          <w:szCs w:val="20"/>
          <w:color w:val="auto"/>
        </w:rPr>
      </w:pPr>
      <w:r>
        <w:rPr>
          <w:rFonts w:ascii="Times New Roman" w:cs="Times New Roman" w:eastAsia="Times New Roman" w:hAnsi="Times New Roman"/>
          <w:sz w:val="13"/>
          <w:szCs w:val="13"/>
          <w:b w:val="1"/>
          <w:bCs w:val="1"/>
          <w:color w:val="auto"/>
        </w:rPr>
        <w:t>Commission File Number: 0-24006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ind w:left="3720"/>
        <w:spacing w:after="0"/>
        <w:rPr>
          <w:sz w:val="20"/>
          <w:szCs w:val="20"/>
          <w:color w:val="auto"/>
        </w:rPr>
      </w:pPr>
      <w:r>
        <w:rPr>
          <w:rFonts w:ascii="Times New Roman" w:cs="Times New Roman" w:eastAsia="Times New Roman" w:hAnsi="Times New Roman"/>
          <w:sz w:val="30"/>
          <w:szCs w:val="30"/>
          <w:b w:val="1"/>
          <w:bCs w:val="1"/>
          <w:color w:val="auto"/>
        </w:rPr>
        <w:t>NEKTAR THERAPEUTICS</w:t>
      </w:r>
    </w:p>
    <w:p>
      <w:pPr>
        <w:spacing w:after="0" w:line="86"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69850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54"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61"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2"/>
          <w:szCs w:val="12"/>
          <w:b w:val="1"/>
          <w:bCs w:val="1"/>
          <w:color w:val="auto"/>
        </w:rPr>
        <w:t>94-3134940</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6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130" w:lineRule="exact"/>
        <w:rPr>
          <w:sz w:val="24"/>
          <w:szCs w:val="24"/>
          <w:color w:val="auto"/>
        </w:rPr>
      </w:pPr>
    </w:p>
    <w:p>
      <w:pPr>
        <w:sectPr>
          <w:pgSz w:w="11900" w:h="16838" w:orient="portrait"/>
          <w:cols w:equalWidth="0" w:num="2">
            <w:col w:w="7520" w:space="500"/>
            <w:col w:w="3200"/>
          </w:cols>
          <w:pgMar w:left="320" w:top="225"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455 Mission Bay Boulevard South</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San Francisco, California 94158</w:t>
      </w: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and zip code)</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415-482-5300</w:t>
      </w:r>
    </w:p>
    <w:p>
      <w:pPr>
        <w:spacing w:after="0" w:line="6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67945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22" w:lineRule="exact"/>
        <w:rPr>
          <w:sz w:val="24"/>
          <w:szCs w:val="24"/>
          <w:color w:val="auto"/>
        </w:rPr>
      </w:pPr>
    </w:p>
    <w:p>
      <w:pPr>
        <w:ind w:left="1480"/>
        <w:spacing w:after="0"/>
        <w:tabs>
          <w:tab w:leader="none" w:pos="5240" w:val="left"/>
          <w:tab w:leader="none" w:pos="8360" w:val="left"/>
        </w:tabs>
        <w:rPr>
          <w:sz w:val="20"/>
          <w:szCs w:val="20"/>
          <w:color w:val="auto"/>
        </w:rPr>
      </w:pPr>
      <w:r>
        <w:rPr>
          <w:rFonts w:ascii="Times New Roman" w:cs="Times New Roman" w:eastAsia="Times New Roman" w:hAnsi="Times New Roman"/>
          <w:sz w:val="10"/>
          <w:szCs w:val="10"/>
          <w:b w:val="1"/>
          <w:bCs w:val="1"/>
          <w:color w:val="auto"/>
        </w:rPr>
        <w:t>Title of Each Class</w:t>
      </w:r>
      <w:r>
        <w:rPr>
          <w:sz w:val="20"/>
          <w:szCs w:val="20"/>
          <w:color w:val="auto"/>
        </w:rPr>
        <w:tab/>
      </w:r>
      <w:r>
        <w:rPr>
          <w:rFonts w:ascii="Times New Roman" w:cs="Times New Roman" w:eastAsia="Times New Roman" w:hAnsi="Times New Roman"/>
          <w:sz w:val="10"/>
          <w:szCs w:val="10"/>
          <w:b w:val="1"/>
          <w:bCs w:val="1"/>
          <w:color w:val="auto"/>
        </w:rPr>
        <w:t>Trading Symbol</w:t>
      </w:r>
      <w:r>
        <w:rPr>
          <w:sz w:val="20"/>
          <w:szCs w:val="20"/>
          <w:color w:val="auto"/>
        </w:rPr>
        <w:tab/>
      </w:r>
      <w:r>
        <w:rPr>
          <w:rFonts w:ascii="Times New Roman" w:cs="Times New Roman" w:eastAsia="Times New Roman" w:hAnsi="Times New Roman"/>
          <w:sz w:val="9"/>
          <w:szCs w:val="9"/>
          <w:b w:val="1"/>
          <w:bCs w:val="1"/>
          <w:color w:val="auto"/>
        </w:rPr>
        <w:t>Name of Each Exchange on Which Registered</w:t>
      </w:r>
    </w:p>
    <w:p>
      <w:pPr>
        <w:spacing w:after="0" w:line="48" w:lineRule="exact"/>
        <w:rPr>
          <w:sz w:val="24"/>
          <w:szCs w:val="24"/>
          <w:color w:val="auto"/>
        </w:rPr>
      </w:pPr>
    </w:p>
    <w:p>
      <w:pPr>
        <w:ind w:left="1060"/>
        <w:spacing w:after="0"/>
        <w:tabs>
          <w:tab w:leader="none" w:pos="5400" w:val="left"/>
          <w:tab w:leader="none" w:pos="8680" w:val="left"/>
        </w:tabs>
        <w:rPr>
          <w:sz w:val="20"/>
          <w:szCs w:val="20"/>
          <w:color w:val="auto"/>
        </w:rPr>
      </w:pPr>
      <w:r>
        <w:rPr>
          <w:rFonts w:ascii="Times New Roman" w:cs="Times New Roman" w:eastAsia="Times New Roman" w:hAnsi="Times New Roman"/>
          <w:sz w:val="12"/>
          <w:szCs w:val="12"/>
          <w:color w:val="auto"/>
        </w:rPr>
        <w:t>Common Stock, $0.0001 par value</w:t>
      </w:r>
      <w:r>
        <w:rPr>
          <w:sz w:val="20"/>
          <w:szCs w:val="20"/>
          <w:color w:val="auto"/>
        </w:rPr>
        <w:tab/>
      </w:r>
      <w:r>
        <w:rPr>
          <w:rFonts w:ascii="Times New Roman" w:cs="Times New Roman" w:eastAsia="Times New Roman" w:hAnsi="Times New Roman"/>
          <w:sz w:val="13"/>
          <w:szCs w:val="13"/>
          <w:color w:val="auto"/>
        </w:rPr>
        <w:t>NKTR</w:t>
      </w:r>
      <w:r>
        <w:rPr>
          <w:sz w:val="20"/>
          <w:szCs w:val="20"/>
          <w:color w:val="auto"/>
        </w:rPr>
        <w:tab/>
      </w:r>
      <w:r>
        <w:rPr>
          <w:rFonts w:ascii="Times New Roman" w:cs="Times New Roman" w:eastAsia="Times New Roman" w:hAnsi="Times New Roman"/>
          <w:sz w:val="12"/>
          <w:szCs w:val="12"/>
          <w:color w:val="auto"/>
        </w:rPr>
        <w:t>NASDAQ Capital Market</w:t>
      </w:r>
    </w:p>
    <w:p>
      <w:pPr>
        <w:spacing w:after="0" w:line="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61595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1" w:lineRule="exact"/>
        <w:rPr>
          <w:sz w:val="24"/>
          <w:szCs w:val="24"/>
          <w:color w:val="auto"/>
        </w:rPr>
      </w:pPr>
    </w:p>
    <w:p>
      <w:pPr>
        <w:ind w:left="660" w:right="3360"/>
        <w:spacing w:after="0" w:line="215"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ind w:right="220" w:firstLine="644"/>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80" w:firstLine="644"/>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 w:lineRule="exact"/>
        <w:rPr>
          <w:sz w:val="24"/>
          <w:szCs w:val="24"/>
          <w:color w:val="auto"/>
        </w:rPr>
      </w:pPr>
    </w:p>
    <w:p>
      <w:pPr>
        <w:ind w:right="520" w:firstLine="644"/>
        <w:spacing w:after="0" w:line="271"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Layout w:type="fixed"/>
        <w:tblInd w:w="20" w:type="dxa"/>
        <w:tblCellMar>
          <w:top w:w="0" w:type="dxa"/>
          <w:left w:w="0" w:type="dxa"/>
          <w:bottom w:w="0" w:type="dxa"/>
          <w:right w:w="0" w:type="dxa"/>
        </w:tblCellMar>
      </w:tblPr>
      <w:tr>
        <w:trPr>
          <w:trHeight w:val="201"/>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98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760" w:type="dxa"/>
            <w:vAlign w:val="bottom"/>
          </w:tcPr>
          <w:p>
            <w:pPr>
              <w:ind w:left="1560"/>
              <w:spacing w:after="0"/>
              <w:rPr>
                <w:sz w:val="20"/>
                <w:szCs w:val="20"/>
                <w:color w:val="auto"/>
              </w:rPr>
            </w:pPr>
            <w:r>
              <w:rPr>
                <w:rFonts w:ascii="Times New Roman" w:cs="Times New Roman" w:eastAsia="Times New Roman" w:hAnsi="Times New Roman"/>
                <w:sz w:val="13"/>
                <w:szCs w:val="13"/>
                <w:color w:val="auto"/>
              </w:rPr>
              <w:t>Accelerated filer</w:t>
            </w:r>
          </w:p>
        </w:tc>
        <w:tc>
          <w:tcPr>
            <w:tcW w:w="1860" w:type="dxa"/>
            <w:vAlign w:val="bottom"/>
          </w:tcPr>
          <w:p>
            <w:pPr>
              <w:ind w:left="17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90"/>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98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4760" w:type="dxa"/>
            <w:vAlign w:val="bottom"/>
          </w:tcPr>
          <w:p>
            <w:pPr>
              <w:ind w:left="15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860" w:type="dxa"/>
            <w:vAlign w:val="bottom"/>
          </w:tcPr>
          <w:p>
            <w:pPr>
              <w:ind w:left="1720"/>
              <w:spacing w:after="0" w:line="131" w:lineRule="exact"/>
              <w:rPr>
                <w:sz w:val="20"/>
                <w:szCs w:val="20"/>
                <w:color w:val="auto"/>
              </w:rPr>
            </w:pPr>
            <w:r>
              <w:rPr>
                <w:rFonts w:ascii="MS PGothic" w:cs="MS PGothic" w:eastAsia="MS PGothic" w:hAnsi="MS PGothic"/>
                <w:sz w:val="13"/>
                <w:szCs w:val="13"/>
                <w:color w:val="auto"/>
                <w:w w:val="91"/>
              </w:rPr>
              <w:t>☒</w:t>
            </w:r>
          </w:p>
        </w:tc>
      </w:tr>
      <w:tr>
        <w:trPr>
          <w:trHeight w:val="258"/>
        </w:trPr>
        <w:tc>
          <w:tcPr>
            <w:tcW w:w="176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198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4760" w:type="dxa"/>
            <w:vAlign w:val="bottom"/>
          </w:tcPr>
          <w:p>
            <w:pPr>
              <w:spacing w:after="0"/>
              <w:rPr>
                <w:sz w:val="22"/>
                <w:szCs w:val="22"/>
                <w:color w:val="auto"/>
              </w:rPr>
            </w:pPr>
          </w:p>
        </w:tc>
        <w:tc>
          <w:tcPr>
            <w:tcW w:w="1860" w:type="dxa"/>
            <w:vAlign w:val="bottom"/>
          </w:tcPr>
          <w:p>
            <w:pPr>
              <w:spacing w:after="0"/>
              <w:rPr>
                <w:sz w:val="22"/>
                <w:szCs w:val="22"/>
                <w:color w:val="auto"/>
              </w:rPr>
            </w:pPr>
          </w:p>
        </w:tc>
      </w:tr>
    </w:tbl>
    <w:p>
      <w:pPr>
        <w:spacing w:after="0" w:line="39" w:lineRule="exact"/>
        <w:rPr>
          <w:sz w:val="24"/>
          <w:szCs w:val="24"/>
          <w:color w:val="auto"/>
        </w:rPr>
      </w:pPr>
    </w:p>
    <w:p>
      <w:pPr>
        <w:ind w:firstLine="644"/>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 w:lineRule="exact"/>
        <w:rPr>
          <w:sz w:val="24"/>
          <w:szCs w:val="24"/>
          <w:color w:val="auto"/>
        </w:rPr>
      </w:pPr>
    </w:p>
    <w:p>
      <w:pPr>
        <w:ind w:right="60" w:firstLine="644"/>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 w:lineRule="exact"/>
        <w:rPr>
          <w:sz w:val="24"/>
          <w:szCs w:val="24"/>
          <w:color w:val="auto"/>
        </w:rPr>
      </w:pPr>
    </w:p>
    <w:p>
      <w:pPr>
        <w:ind w:right="140" w:firstLine="644"/>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7" w:lineRule="exact"/>
        <w:rPr>
          <w:sz w:val="24"/>
          <w:szCs w:val="24"/>
          <w:color w:val="auto"/>
        </w:rPr>
      </w:pPr>
    </w:p>
    <w:p>
      <w:pPr>
        <w:ind w:right="280" w:firstLine="644"/>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Exchange Act Rule 12b-2).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right="320" w:firstLine="644"/>
        <w:spacing w:after="0" w:line="278" w:lineRule="auto"/>
        <w:rPr>
          <w:sz w:val="20"/>
          <w:szCs w:val="20"/>
          <w:color w:val="auto"/>
        </w:rPr>
      </w:pPr>
      <w:r>
        <w:rPr>
          <w:rFonts w:ascii="Times New Roman" w:cs="Times New Roman" w:eastAsia="Times New Roman" w:hAnsi="Times New Roman"/>
          <w:sz w:val="13"/>
          <w:szCs w:val="13"/>
          <w:color w:val="auto"/>
        </w:rPr>
        <w:t>The approximate aggregate market value of voting stock held by non-affiliates of the registrant, based upon the last sale price of the registrant’s common stock on the last business day of the registrant’s most recently completed second fiscal quarter, June 30, 2025, as reported on The NASDAQ Capital Market, was approximately $318 million.</w:t>
      </w:r>
    </w:p>
    <w:p>
      <w:pPr>
        <w:spacing w:after="0" w:line="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3"/>
          <w:szCs w:val="13"/>
          <w:color w:val="auto"/>
        </w:rPr>
        <w:t>As of March 11, 2026, the number of outstanding shares of the registrant’s common stock was 28,687,963.</w:t>
      </w:r>
    </w:p>
    <w:p>
      <w:pPr>
        <w:spacing w:after="0" w:line="49"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206" w:lineRule="exact"/>
        <w:rPr>
          <w:sz w:val="24"/>
          <w:szCs w:val="24"/>
          <w:color w:val="auto"/>
        </w:rPr>
      </w:pPr>
    </w:p>
    <w:p>
      <w:pPr>
        <w:ind w:right="400"/>
        <w:spacing w:after="0" w:line="278" w:lineRule="auto"/>
        <w:rPr>
          <w:sz w:val="20"/>
          <w:szCs w:val="20"/>
          <w:color w:val="auto"/>
        </w:rPr>
      </w:pPr>
      <w:r>
        <w:rPr>
          <w:rFonts w:ascii="Times New Roman" w:cs="Times New Roman" w:eastAsia="Times New Roman" w:hAnsi="Times New Roman"/>
          <w:sz w:val="13"/>
          <w:szCs w:val="13"/>
          <w:color w:val="auto"/>
        </w:rPr>
        <w:t xml:space="preserve">Portions of registrant’s definitive Proxy Statement to be filed for its 2026 Annual Meeting of Stockholders are incorporated by reference into Part III hereof. </w:t>
      </w:r>
      <w:r>
        <w:rPr>
          <w:rFonts w:ascii="Times New Roman" w:cs="Times New Roman" w:eastAsia="Times New Roman" w:hAnsi="Times New Roman"/>
          <w:sz w:val="12"/>
          <w:szCs w:val="12"/>
          <w:color w:val="auto"/>
        </w:rPr>
        <w:t>Such</w:t>
      </w:r>
      <w:r>
        <w:rPr>
          <w:rFonts w:ascii="Times New Roman" w:cs="Times New Roman" w:eastAsia="Times New Roman" w:hAnsi="Times New Roman"/>
          <w:sz w:val="13"/>
          <w:szCs w:val="13"/>
          <w:color w:val="auto"/>
        </w:rPr>
        <w:t xml:space="preserve"> Proxy Statement will be filed with the Securities and Exchange Commission within 120 days of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1155700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20" w:type="dxa"/>
            <w:vAlign w:val="bottom"/>
            <w:gridSpan w:val="16"/>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rPr>
              <w:t>NEKTAR THERAPEUTICS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0" w:type="dxa"/>
            <w:vAlign w:val="bottom"/>
            <w:gridSpan w:val="18"/>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2025 ANNUAL REPORT ON FORM 10-K</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20" w:type="dxa"/>
            <w:vAlign w:val="bottom"/>
            <w:gridSpan w:val="16"/>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4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0000FF"/>
              </w:rPr>
              <w:t>Summary of Risks</w:t>
            </w: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40" w:type="dxa"/>
            <w:vAlign w:val="bottom"/>
            <w:gridSpan w:val="29"/>
            <w:vMerge w:val="continue"/>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11"/>
          </w:tcPr>
          <w:p>
            <w:pPr>
              <w:jc w:val="center"/>
              <w:ind w:right="450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5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tcBorders>
              <w:top w:val="single" w:sz="8" w:color="0000FF"/>
            </w:tcBorders>
            <w:gridSpan w:val="2"/>
          </w:tcPr>
          <w:p>
            <w:pPr>
              <w:spacing w:after="0"/>
              <w:rPr>
                <w:sz w:val="24"/>
                <w:szCs w:val="24"/>
                <w:color w:val="auto"/>
              </w:rPr>
            </w:pPr>
          </w:p>
        </w:tc>
        <w:tc>
          <w:tcPr>
            <w:tcW w:w="454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50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446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96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12"/>
          </w:tcPr>
          <w:p>
            <w:pPr>
              <w:jc w:val="center"/>
              <w:ind w:right="4480"/>
              <w:spacing w:after="0"/>
              <w:rPr>
                <w:sz w:val="20"/>
                <w:szCs w:val="20"/>
                <w:color w:val="auto"/>
              </w:rPr>
            </w:pPr>
            <w:r>
              <w:rPr>
                <w:rFonts w:ascii="Times New Roman" w:cs="Times New Roman" w:eastAsia="Times New Roman" w:hAnsi="Times New Roman"/>
                <w:sz w:val="18"/>
                <w:szCs w:val="18"/>
                <w:b w:val="1"/>
                <w:bCs w:val="1"/>
                <w:color w:val="0000FF"/>
                <w:w w:val="97"/>
              </w:rPr>
              <w:t>PART IV</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44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20" w:type="dxa"/>
            <w:vAlign w:val="bottom"/>
            <w:tcBorders>
              <w:top w:val="single" w:sz="8" w:color="0000FF"/>
            </w:tcBorders>
            <w:gridSpan w:val="6"/>
          </w:tcPr>
          <w:p>
            <w:pPr>
              <w:spacing w:after="0"/>
              <w:rPr>
                <w:sz w:val="24"/>
                <w:szCs w:val="24"/>
                <w:color w:val="auto"/>
              </w:rPr>
            </w:pPr>
          </w:p>
        </w:tc>
        <w:tc>
          <w:tcPr>
            <w:tcW w:w="448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500" w:type="dxa"/>
            <w:vAlign w:val="bottom"/>
            <w:gridSpan w:val="1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884"/>
        </w:trPr>
        <w:tc>
          <w:tcPr>
            <w:tcW w:w="7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880" w:type="dxa"/>
            <w:vAlign w:val="bottom"/>
            <w:gridSpan w:val="20"/>
          </w:tcPr>
          <w:p>
            <w:pPr>
              <w:jc w:val="center"/>
              <w:ind w:left="439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on Form 10-K, including any projections of market size, earnings, revenue, milestone payments, royalties, sales or other financial items, any statements of the plans and objectives of management for future operations (including, but not limited to, preclinical development, clinical trials and manufacturing), any statements related to our financial condition and future working capital needs, any statements related to our strategic reorganization and cost restructuring plans, any statements regarding potential future financing alternatives, any statements concerning proposed drug candidates and our future research and development plans, any statements regarding the timing for the start or end of clinical trials or submission of regulatory approval filings, any statements regarding future economic conditions or performance, any statements regarding the initiation, formation, or success of any collaboration arrangements, commercialization activities and product sales levels and future payments that may come due to us under these arrangements, any statements regarding our plans and objectives to initiate or continue clinical trials, any statements related to potential, anticipated, or ongoing litigation (including the timing for court hearings and trials) and any statements of assumptions underlying any of the foregoing. In some cases, forward-looking statements can be identified by the use of terminology such as “believe,” “may,” “will,” “expects,” “plans,” “anticipates,” “estimates,” “potential” or “continue,” or the negative thereof or other comparable terminology. Although we believe that the expectations reflected in the forward-looking statements contained herein are reasonable, such expectations or any of the forward-looking statements may prove to be incorrect and actual results could differ materially from those projected or assumed in the forward-looking statements. Our future financial condition and results of operations, as well as any forward-looking statements, are subject to inherent risks and uncertainties, including, but not limited to, the risk factors set forth in Part I, Item 1A “Risk Factors” below and for the reasons described elsewhere in this annual report on Form 10-K. All forward-looking statements and reasons why results may differ included in this report are made as of the date hereof and we do not intend to update any forward-looking statements except as required by law or applicable regulations. Except where the context otherwise requires, in this annual report on Form 10-K, the “Company,” “Nektar,” “we,” “us,” and “our” refer to Nektar Therapeutics, a Delaware corporation, and, where appropriate, its subsidiaries.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95" w:lineRule="exact"/>
        <w:rPr>
          <w:sz w:val="20"/>
          <w:szCs w:val="20"/>
          <w:color w:val="auto"/>
        </w:rPr>
      </w:pPr>
    </w:p>
    <w:p>
      <w:pPr>
        <w:jc w:val="both"/>
        <w:ind w:right="160" w:firstLine="644"/>
        <w:spacing w:after="0" w:line="234" w:lineRule="auto"/>
        <w:rPr>
          <w:sz w:val="20"/>
          <w:szCs w:val="20"/>
          <w:color w:val="auto"/>
        </w:rPr>
      </w:pPr>
      <w:r>
        <w:rPr>
          <w:rFonts w:ascii="Times New Roman" w:cs="Times New Roman" w:eastAsia="Times New Roman" w:hAnsi="Times New Roman"/>
          <w:sz w:val="18"/>
          <w:szCs w:val="18"/>
          <w:color w:val="auto"/>
        </w:rPr>
        <w:t>The Nektar brand and product names, including but not limited to Nektar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contained in this document are trademarks and registered trademarks of Nektar Therapeutics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Risks</w:t>
      </w:r>
    </w:p>
    <w:p>
      <w:pPr>
        <w:spacing w:after="0" w:line="202" w:lineRule="exact"/>
        <w:rPr>
          <w:sz w:val="20"/>
          <w:szCs w:val="20"/>
          <w:color w:val="auto"/>
        </w:rPr>
      </w:pPr>
    </w:p>
    <w:p>
      <w:pPr>
        <w:ind w:right="140" w:firstLine="644"/>
        <w:spacing w:after="0" w:line="255" w:lineRule="auto"/>
        <w:rPr>
          <w:sz w:val="20"/>
          <w:szCs w:val="20"/>
          <w:color w:val="auto"/>
        </w:rPr>
      </w:pPr>
      <w:r>
        <w:rPr>
          <w:rFonts w:ascii="Times New Roman" w:cs="Times New Roman" w:eastAsia="Times New Roman" w:hAnsi="Times New Roman"/>
          <w:sz w:val="18"/>
          <w:szCs w:val="18"/>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 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Risks to our business are more fully described below in Item IA in this Form 10-K, which risks include, among others:</w:t>
      </w:r>
    </w:p>
    <w:p>
      <w:pPr>
        <w:spacing w:after="0" w:line="181" w:lineRule="exact"/>
        <w:rPr>
          <w:sz w:val="20"/>
          <w:szCs w:val="20"/>
          <w:color w:val="auto"/>
        </w:rPr>
      </w:pPr>
    </w:p>
    <w:p>
      <w:pPr>
        <w:ind w:left="1300" w:hanging="648"/>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our Research and Development Efforts</w:t>
      </w:r>
      <w:r>
        <w:rPr>
          <w:rFonts w:ascii="Times New Roman" w:cs="Times New Roman" w:eastAsia="Times New Roman" w:hAnsi="Times New Roman"/>
          <w:sz w:val="18"/>
          <w:szCs w:val="18"/>
          <w:b w:val="1"/>
          <w:bCs w:val="1"/>
          <w:color w:val="auto"/>
        </w:rPr>
        <w:t>:</w:t>
      </w:r>
    </w:p>
    <w:p>
      <w:pPr>
        <w:spacing w:after="0" w:line="202" w:lineRule="exact"/>
        <w:rPr>
          <w:rFonts w:ascii="Times New Roman" w:cs="Times New Roman" w:eastAsia="Times New Roman" w:hAnsi="Times New Roman"/>
          <w:sz w:val="18"/>
          <w:szCs w:val="18"/>
          <w:color w:val="auto"/>
        </w:rPr>
      </w:pPr>
    </w:p>
    <w:p>
      <w:pPr>
        <w:ind w:left="1940" w:right="28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oclinical drug development is a lengthy and uncertain process and we may not be able to generate and develop successful drug candidates for commercial use;</w:t>
      </w:r>
    </w:p>
    <w:p>
      <w:pPr>
        <w:spacing w:after="0" w:line="121" w:lineRule="exact"/>
        <w:rPr>
          <w:rFonts w:ascii="Times New Roman" w:cs="Times New Roman" w:eastAsia="Times New Roman" w:hAnsi="Times New Roman"/>
          <w:sz w:val="18"/>
          <w:szCs w:val="18"/>
          <w:color w:val="auto"/>
        </w:rPr>
      </w:pPr>
    </w:p>
    <w:p>
      <w:pPr>
        <w:ind w:left="1940" w:right="36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are highly dependent on the success of rezpegaldesleukin (previously referred to as NKTR-358) and our business will be significantly harmed if rezpegaldesleukin does not continue to advance in clinical studies;</w:t>
      </w:r>
    </w:p>
    <w:p>
      <w:pPr>
        <w:spacing w:after="0" w:line="121" w:lineRule="exact"/>
        <w:rPr>
          <w:rFonts w:ascii="Times New Roman" w:cs="Times New Roman" w:eastAsia="Times New Roman" w:hAnsi="Times New Roman"/>
          <w:sz w:val="18"/>
          <w:szCs w:val="18"/>
          <w:color w:val="auto"/>
        </w:rPr>
      </w:pPr>
    </w:p>
    <w:p>
      <w:pPr>
        <w:ind w:left="1940" w:right="104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outcomes from competitive immunotherapy clinical trials, and the discovery and development of new potential immunotherapies could have a material and adverse impact on the value of our pipeline;</w:t>
      </w:r>
    </w:p>
    <w:p>
      <w:pPr>
        <w:spacing w:after="0" w:line="134" w:lineRule="exact"/>
        <w:rPr>
          <w:rFonts w:ascii="Times New Roman" w:cs="Times New Roman" w:eastAsia="Times New Roman" w:hAnsi="Times New Roman"/>
          <w:sz w:val="18"/>
          <w:szCs w:val="18"/>
          <w:color w:val="auto"/>
        </w:rPr>
      </w:pPr>
    </w:p>
    <w:p>
      <w:pPr>
        <w:ind w:left="1940" w:right="54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osignificant competition for our products and drug candidates could make our drug products or drug candidates obsolete or uncompetitive;</w:t>
      </w:r>
    </w:p>
    <w:p>
      <w:pPr>
        <w:spacing w:after="0" w:line="121" w:lineRule="exact"/>
        <w:rPr>
          <w:rFonts w:ascii="Times New Roman" w:cs="Times New Roman" w:eastAsia="Times New Roman" w:hAnsi="Times New Roman"/>
          <w:sz w:val="18"/>
          <w:szCs w:val="18"/>
          <w:color w:val="auto"/>
        </w:rPr>
      </w:pPr>
    </w:p>
    <w:p>
      <w:pPr>
        <w:ind w:left="194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opreliminary and interim data from our clinical studies are subject to audit and verification procedures that could result in material changes in the final data and may change as more patient data become available;</w:t>
      </w:r>
    </w:p>
    <w:p>
      <w:pPr>
        <w:spacing w:after="0" w:line="121" w:lineRule="exact"/>
        <w:rPr>
          <w:rFonts w:ascii="Times New Roman" w:cs="Times New Roman" w:eastAsia="Times New Roman" w:hAnsi="Times New Roman"/>
          <w:sz w:val="18"/>
          <w:szCs w:val="18"/>
          <w:color w:val="auto"/>
        </w:rPr>
      </w:pPr>
    </w:p>
    <w:p>
      <w:pPr>
        <w:ind w:left="194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oclinical trials for any of our drug candidates could be delayed for a variety of reasons, including delays associated with activating clinical sites and lower than anticipated patient enrollment rates, which are often outside of our control;</w:t>
      </w:r>
    </w:p>
    <w:p>
      <w:pPr>
        <w:spacing w:after="0" w:line="134" w:lineRule="exact"/>
        <w:rPr>
          <w:rFonts w:ascii="Times New Roman" w:cs="Times New Roman" w:eastAsia="Times New Roman" w:hAnsi="Times New Roman"/>
          <w:sz w:val="18"/>
          <w:szCs w:val="18"/>
          <w:color w:val="auto"/>
        </w:rPr>
      </w:pPr>
    </w:p>
    <w:p>
      <w:pPr>
        <w:ind w:left="1940" w:right="180" w:hanging="64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depend on third parties to conduct laboratory experiments, preclinical studies and clinical trials for our drug candidates and any failure of those parties to fulfill their obligations according to our instructions and protocol standards could harm our research and development plans and adversely affect our business; and.</w:t>
      </w:r>
    </w:p>
    <w:p>
      <w:pPr>
        <w:spacing w:after="0" w:line="135" w:lineRule="exact"/>
        <w:rPr>
          <w:rFonts w:ascii="Times New Roman" w:cs="Times New Roman" w:eastAsia="Times New Roman" w:hAnsi="Times New Roman"/>
          <w:sz w:val="18"/>
          <w:szCs w:val="18"/>
          <w:color w:val="auto"/>
        </w:rPr>
      </w:pPr>
    </w:p>
    <w:p>
      <w:pPr>
        <w:ind w:left="1940" w:right="20" w:hanging="6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owhile we believe we currently have the documents, records and data that are necessary for us to continue clinical development of rezpegaldesleukin, our ability to perform important development and regulatory activities will be significantly harmed if Eli Lilly and Company fails to continue to cooperate with us in the transfer of all documents, records and data associated with the rezpegaldesleukin program.</w:t>
      </w:r>
    </w:p>
    <w:p>
      <w:pPr>
        <w:spacing w:after="0" w:line="135"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our Financial Condition and Capital Requirements</w:t>
      </w:r>
      <w:r>
        <w:rPr>
          <w:rFonts w:ascii="Times New Roman" w:cs="Times New Roman" w:eastAsia="Times New Roman" w:hAnsi="Times New Roman"/>
          <w:sz w:val="18"/>
          <w:szCs w:val="18"/>
          <w:b w:val="1"/>
          <w:bCs w:val="1"/>
          <w:color w:val="auto"/>
        </w:rPr>
        <w:t>:</w:t>
      </w:r>
    </w:p>
    <w:p>
      <w:pPr>
        <w:spacing w:after="0" w:line="202" w:lineRule="exact"/>
        <w:rPr>
          <w:rFonts w:ascii="Times New Roman" w:cs="Times New Roman" w:eastAsia="Times New Roman" w:hAnsi="Times New Roman"/>
          <w:sz w:val="18"/>
          <w:szCs w:val="18"/>
          <w:color w:val="auto"/>
        </w:rPr>
      </w:pPr>
    </w:p>
    <w:p>
      <w:pPr>
        <w:ind w:left="1940" w:right="52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owe have substantial future capital requirements and there is a risk we may not have access to sufficient capital to meet our current business plan;</w:t>
      </w:r>
    </w:p>
    <w:p>
      <w:pPr>
        <w:spacing w:after="0" w:line="121" w:lineRule="exact"/>
        <w:rPr>
          <w:rFonts w:ascii="Times New Roman" w:cs="Times New Roman" w:eastAsia="Times New Roman" w:hAnsi="Times New Roman"/>
          <w:sz w:val="18"/>
          <w:szCs w:val="18"/>
          <w:color w:val="auto"/>
        </w:rPr>
      </w:pPr>
    </w:p>
    <w:p>
      <w:pPr>
        <w:jc w:val="both"/>
        <w:ind w:left="1940" w:right="160" w:hanging="64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significant source of our revenue and capital for research and development has been derived from our collaboration agreements, and if we are unable to establish collaboration partnerships with attractive commercial terms, including significant development milestones and research and development cost-sharing, our business, results of operations and financial condition could suffer; and</w:t>
      </w:r>
    </w:p>
    <w:p>
      <w:pPr>
        <w:spacing w:after="0" w:line="13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we expect to continue to incur substantial net losses from operations and may not achieve or sustain profitability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300" w:hanging="648"/>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Supply and Manufacturing</w:t>
      </w:r>
      <w:r>
        <w:rPr>
          <w:rFonts w:ascii="Times New Roman" w:cs="Times New Roman" w:eastAsia="Times New Roman" w:hAnsi="Times New Roman"/>
          <w:sz w:val="18"/>
          <w:szCs w:val="18"/>
          <w:b w:val="1"/>
          <w:bCs w:val="1"/>
          <w:color w:val="auto"/>
        </w:rPr>
        <w:t>:</w:t>
      </w:r>
    </w:p>
    <w:p>
      <w:pPr>
        <w:spacing w:after="0" w:line="202" w:lineRule="exact"/>
        <w:rPr>
          <w:rFonts w:ascii="Times New Roman" w:cs="Times New Roman" w:eastAsia="Times New Roman" w:hAnsi="Times New Roman"/>
          <w:sz w:val="18"/>
          <w:szCs w:val="18"/>
          <w:color w:val="auto"/>
        </w:rPr>
      </w:pPr>
    </w:p>
    <w:p>
      <w:pPr>
        <w:ind w:left="1940" w:right="220" w:hanging="64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oif our contract manufacturers are not able to manufacture drugs or drug substances in sufficient quantities that meet applicable quality standards, our business, financial condition and results of operations could be harmed; and</w:t>
      </w:r>
    </w:p>
    <w:p>
      <w:pPr>
        <w:spacing w:after="0" w:line="12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oour contract manufacturers purchase some of the starting material for drugs and drug candidates from a single source or a limited</w:t>
      </w:r>
    </w:p>
    <w:p>
      <w:pPr>
        <w:spacing w:after="0" w:line="27" w:lineRule="exact"/>
        <w:rPr>
          <w:rFonts w:ascii="Times New Roman" w:cs="Times New Roman" w:eastAsia="Times New Roman" w:hAnsi="Times New Roman"/>
          <w:sz w:val="18"/>
          <w:szCs w:val="18"/>
          <w:color w:val="auto"/>
        </w:rPr>
      </w:pPr>
    </w:p>
    <w:p>
      <w:pPr>
        <w:ind w:left="194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suppliers and we are dependent on Gannet BioChem for the supply of the polyethylene glycol reagents (PEG reagents) used in the manufacture of rezpegaldesleukin and NKTR-255, and the partial or complete loss of one of these suppliers could cause production and clinical trial delays.</w:t>
      </w:r>
    </w:p>
    <w:p>
      <w:pPr>
        <w:spacing w:after="0" w:line="14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Risks Related to Intellectual Property, Litigation and Regulatory Concerns:</w:t>
      </w:r>
    </w:p>
    <w:p>
      <w:pPr>
        <w:spacing w:after="0" w:line="20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we or our partners may not obtain regulatory approval for our drug candidates on a timely basis, or at all;</w:t>
      </w:r>
    </w:p>
    <w:p>
      <w:pPr>
        <w:spacing w:after="0" w:line="184" w:lineRule="exact"/>
        <w:rPr>
          <w:rFonts w:ascii="Times New Roman" w:cs="Times New Roman" w:eastAsia="Times New Roman" w:hAnsi="Times New Roman"/>
          <w:sz w:val="18"/>
          <w:szCs w:val="18"/>
          <w:color w:val="auto"/>
        </w:rPr>
      </w:pPr>
    </w:p>
    <w:p>
      <w:pPr>
        <w:ind w:left="1940" w:right="260" w:hanging="64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odisruptions to the normal functioning of the U.S. Food and Drug Administration (FDA) and other government agencies could hinder their ability to perform required activities and may slow the time necessary for new product candidates to be reviewed and/or approved, which would adversely affect our business;</w:t>
      </w:r>
    </w:p>
    <w:p>
      <w:pPr>
        <w:spacing w:after="0" w:line="135" w:lineRule="exact"/>
        <w:rPr>
          <w:rFonts w:ascii="Times New Roman" w:cs="Times New Roman" w:eastAsia="Times New Roman" w:hAnsi="Times New Roman"/>
          <w:sz w:val="18"/>
          <w:szCs w:val="18"/>
          <w:color w:val="auto"/>
        </w:rPr>
      </w:pPr>
    </w:p>
    <w:p>
      <w:pPr>
        <w:ind w:left="1940" w:right="200" w:hanging="64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opatents may not issue from our patent applications for our drug candidates, patents that have issued may not be enforceable, or additional intellectual property licenses from third parties may be required, which may not be available to us on commercially reasonable terms; and</w:t>
      </w:r>
    </w:p>
    <w:p>
      <w:pPr>
        <w:spacing w:after="0" w:line="149" w:lineRule="exact"/>
        <w:rPr>
          <w:sz w:val="20"/>
          <w:szCs w:val="20"/>
          <w:color w:val="auto"/>
        </w:rPr>
      </w:pPr>
    </w:p>
    <w:p>
      <w:pPr>
        <w:ind w:left="1940" w:right="540" w:hanging="644"/>
        <w:spacing w:after="0" w:line="282" w:lineRule="auto"/>
        <w:tabs>
          <w:tab w:leader="none" w:pos="1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are involved in legal proceedings and may incur substantial litigation costs and liabilities that could adversely affect our business, financial condition and results of operations.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above-mentioned risks, our business is subject to a number of additional risks faced by businesses generally.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2" w:lineRule="exact"/>
        <w:rPr>
          <w:sz w:val="20"/>
          <w:szCs w:val="20"/>
          <w:color w:val="auto"/>
        </w:rPr>
      </w:pPr>
    </w:p>
    <w:p>
      <w:pPr>
        <w:ind w:right="180" w:firstLine="644"/>
        <w:spacing w:after="0" w:line="273" w:lineRule="auto"/>
        <w:rPr>
          <w:sz w:val="20"/>
          <w:szCs w:val="20"/>
          <w:color w:val="auto"/>
        </w:rPr>
      </w:pPr>
      <w:r>
        <w:rPr>
          <w:rFonts w:ascii="Times New Roman" w:cs="Times New Roman" w:eastAsia="Times New Roman" w:hAnsi="Times New Roman"/>
          <w:sz w:val="17"/>
          <w:szCs w:val="17"/>
          <w:color w:val="auto"/>
        </w:rPr>
        <w:t>Nektar Therapeutics (Nektar, we) is a clinical stage, research-based drug discovery biopharmaceutical company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We apply our deep understanding of immunology to identify and create innovative drug candidates and use our drug development expertise to advance these molecules through preclinical and clinical development. Our pipeline of clinical-stage and preclinical-stage immunomodulatory agents targets the treatment of autoimmune diseases (e.g., rezpegaldesleukin and NKTR-0165/0166, respectively) and cancer (e.g. NKTR-255). We continue to make significant investments in building and advancing our pipeline of drug candidates as we believe that this is the best strategy to build long-term shareholder value.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Candidates and Pipeline</w:t>
      </w:r>
    </w:p>
    <w:p>
      <w:pPr>
        <w:spacing w:after="0" w:line="189"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By modulating the immune system, our drug candidates target pathways that play critical roles in a wide range of serious diseases. In autoimmune diseases, our focus is on addressing imbalances in the immune system to restore the body’s self-tolerance mechanisms and to achieve immune homeostasis. In oncology, we are focused on activating the immune system’s natural tumor-fighting mechanisms.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Autoimmune diseases</w:t>
      </w:r>
    </w:p>
    <w:p>
      <w:pPr>
        <w:spacing w:after="0" w:line="189"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We recognize that many autoimmune diseases are caused by an imbalance in the body’s immune system. A failure of the body’s self-tolerance mechanisms enables the formation of pathogenic T cells that cause the immune system to mistakenly attack and damage healthy cells in a person’s body. Current systemic treatments for autoimmune diseases, including corticosteroids and anti-TNF agents, suppress the immune system broadly and come with severe side effects. Pharmaceutical agents designed to rebalance the immune system by increasing the function of regulatory T cells (Treg cells), powerful inhibitory immune cells, could be used to treat patients suffering from autoimmune disorders and inflammatory diseases.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Rezpegaldesleukin</w:t>
      </w:r>
    </w:p>
    <w:p>
      <w:pPr>
        <w:spacing w:after="0" w:line="202"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Our drug candidate rezpegaldesleukin is a potential first-in-class resolution therapeutic that may address this underlying immune system imbalance in people with autoimmune disorders and inflammatory diseases. It is designed to target the interleukin-2 (IL-2) receptor complex in the body in order to stimulate proliferation of powerful inhibitory immune cells known as Treg cells. Describing the critical role of Treg cells in maintaining balance in the immune system earned Drs. Mary E. Brunkow, Fred Ramsdell and Shimon Sakaguchi, the Nobel Prize in medicine on October 6, 2025. By activating these Treg cells, rezpegaldesleukin may act to bring the immune system back into balance. Rezpegaldesleukin is being developed as a self-administered injection for a number of autoimmune disorders and inflammatory diseases.</w:t>
      </w:r>
    </w:p>
    <w:p>
      <w:pPr>
        <w:spacing w:after="0" w:line="147" w:lineRule="exact"/>
        <w:rPr>
          <w:sz w:val="20"/>
          <w:szCs w:val="20"/>
          <w:color w:val="auto"/>
        </w:rPr>
      </w:pPr>
    </w:p>
    <w:p>
      <w:pPr>
        <w:jc w:val="both"/>
        <w:ind w:right="300" w:firstLine="644"/>
        <w:spacing w:after="0" w:line="289" w:lineRule="auto"/>
        <w:rPr>
          <w:sz w:val="20"/>
          <w:szCs w:val="20"/>
          <w:color w:val="auto"/>
        </w:rPr>
      </w:pPr>
      <w:r>
        <w:rPr>
          <w:rFonts w:ascii="Times New Roman" w:cs="Times New Roman" w:eastAsia="Times New Roman" w:hAnsi="Times New Roman"/>
          <w:sz w:val="17"/>
          <w:szCs w:val="17"/>
          <w:color w:val="auto"/>
        </w:rPr>
        <w:t>We developed rezpegaldesleukin and own full rights to this drug candidate. Although we previously entered into a license agreement with Eli Lilly and Company (Lilly) in 2017 (the Lilly Agreement) to develop and commercialize rezpegaldesleukin, on April 23, 2023, we received from Lilly a notice of at-will termination of the Lilly Agreement, and on April 27, 2023, we announced that we would be regaining full rights to rezpegaldesleukin.</w:t>
      </w:r>
    </w:p>
    <w:p>
      <w:pPr>
        <w:spacing w:after="0" w:line="117"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On October 13, 2023, we announced final efficacy data from a Phase 1b study of rezpegaldesleukin in adult patients with atopic dermatitis (Phase 1b AD Study) at the European Academy of Dermatology and Venereolgy conference. The final efficacy data from the Phase 1b AD study showed that patients with moderate-to-severe atopic dermatitis that were treated with rezpegaldesleukin had dose-dependent improvements in the eczema area and severity index (EASI), validated investigated global assessment (vIGA), body surface area (BSA), and itch numeric rating scale (NRS) over twelve weeks of treatment compared to placebo, which were sustained post-treatment over an additional thirty-six weeks. Rezpegaldesleukin was well tolerated with no patients in the rezpegaldesleukin groups experiencing severe, serious, or fatal adverse events, and no anti-rezpegaldesleukin antibodies were detected.</w:t>
      </w:r>
    </w:p>
    <w:p>
      <w:pPr>
        <w:spacing w:after="0" w:line="160" w:lineRule="exact"/>
        <w:rPr>
          <w:sz w:val="20"/>
          <w:szCs w:val="20"/>
          <w:color w:val="auto"/>
        </w:rPr>
      </w:pPr>
    </w:p>
    <w:p>
      <w:pPr>
        <w:jc w:val="both"/>
        <w:ind w:right="80" w:firstLine="644"/>
        <w:spacing w:after="0" w:line="261" w:lineRule="auto"/>
        <w:rPr>
          <w:sz w:val="20"/>
          <w:szCs w:val="20"/>
          <w:color w:val="auto"/>
        </w:rPr>
      </w:pPr>
      <w:r>
        <w:rPr>
          <w:rFonts w:ascii="Times New Roman" w:cs="Times New Roman" w:eastAsia="Times New Roman" w:hAnsi="Times New Roman"/>
          <w:sz w:val="18"/>
          <w:szCs w:val="18"/>
          <w:color w:val="auto"/>
        </w:rPr>
        <w:t>In late October 2023, we initiated a Phase 2b clinical study of rezpegaldesleukin in patients with moderate-to-severe atopic dermatitis (the Phase 2b RESOLVE-AD trial). On February 11, 2025, we announced that the U.S. Food and Drug Administration (FDA) had granted Fast Track designation for rezpegaldesleukin for the treatment of adult and pediatric patients 12 years of age and older with moderate-to-severe atopic dermatitis whose disease is not adequately controlled with topical prescription therapies or when those therapies are not advisable.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In March 2024, we initiated a Phase 2b clinical study of rezpegaldesleukin in patients with severe-to-very severe alopecia areata (the Phase 2b RESOLVE-AA trial). On July 29, 2025, we announced that the FDA had granted Fast Track designation for rezpegaldesleukin for the treatment of severe-to-very severe alopecia areata in adult and pediatric patients 12 years of age and older who weigh at least 40 kg.</w:t>
      </w:r>
    </w:p>
    <w:p>
      <w:pPr>
        <w:spacing w:after="0" w:line="149"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On February 24, 2025, we announced that we had entered into a clinical trial agreement with TrialNet, an international clinical trial network focused on diabetes research, to evaluate rezpegaldesleukin in patients with new onset stage 3 type 1 diabetes mellitus (TID). Under the agreement, TrialNet will conduct and provide funding for a Phase 2 randomized, double-blind, placebo-controlled, clinical trial to investigate the safety and potential efficacy of rezpegaldesleukin in approximately 70 adults and children with new onset stage 3 TID. We will supply rezpegaldesleukin for the trial and will provide support for the study, including pharmacokinetic and other analyses. We will retain all rights to rezpegaldesleukin under the collaboration.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REZOLVE-AD Study</w:t>
      </w:r>
    </w:p>
    <w:p>
      <w:pPr>
        <w:spacing w:after="0" w:line="185"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On June 24, 2025, we announced statistically significant data from the 16-week induction period of the ongoing Phase 2b REZOLVE-AD trial being conducted in 393 patients. In the trial, patients were randomized (3:3:3:2) to receive subcutaneous treatment with one of three doses of rezpegaldesleukin: a high dose of 24 µg/kg every two weeks (q2w), a middle dose of 18 µg/kg q2w, and a low dose of 24 µg/kg every four weeks (q4w), or placebo q2w. The primary endpoint and secondary endpoints were assessed at week 16. Following the 16-week induction period, rezpegaldesleukin-treated patients who achieved Eczema Area and Severity Score (EASI) percent score reductions of &gt;50 were re-randomized (1:1) to continue at the same dose level on a q4w or q12w regimen through week 52 in a blinded maintenance period. Placebo patients with EASI percent score reductions of &gt;50 percent continue to receive placebo q4w.</w:t>
      </w:r>
    </w:p>
    <w:p>
      <w:pPr>
        <w:spacing w:after="0" w:line="162"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As announced on June 24, 2025, the Phase 2b REZOLVE-AD trial met its primary endpoint of the mean improvement in EASI from baseline at week 16 for all three dose arms of rezpegaldesleukin versus placebo (p&lt;0.001). All three dose arms also achieved statistical significance at week 16 for the key secondary endpoints of EASI-75 (percent of patients who achieve ≥75% reduction in EASI from baseline), EASI-50 (percent of patients who achieve ≥50% reduction in EASI from baseline) and BSA (mean percent improvement in Body Surface Area score from baseline). The q2w arms of rezpegaldesleukin (high and middle doses) achieved statistical significance at week 16 for the key secondary endpoints of vIGA-AD 0/1 (percent of patients achieving a score of 0 or 1 on the validated Investigator’s Global Assessment for Atopic Dermatitis with ≥ 2-point reduction from baseline) and Itch NRS (percent of patients with baseline ≥ 4 who experienced a ≥ 4-point reduction in the Itch Numerical Rating Score from baseline). In addition, at week 16, the high dose of 24 µg/kg q2w achieved statistical significance on EASI-90 (percent of patients who achieve ≥ 90% reduction in EASI from baseline). When evaluating EASI-75 and EASI-90 by disease severity using baseline vIGA-AD score, similar responses were observed in severe patients (baseline vIGA-AD of 4) as in moderate patients (baseline vIGA-AD of 3).</w:t>
      </w:r>
    </w:p>
    <w:p>
      <w:pPr>
        <w:spacing w:after="0" w:line="154"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In addition, the safety profile for the 16-week induction period for rezpegaldesleukin in the Phase 2b REZOLVE-AD trial was consistent with previously reported results. The most common treatment-emergent adverse events (TEAEs) were local injection site reactions (ISRs), observed in 69.7% of all rezpegaldesleukin-treated patients, with the largest proportion of these being mild or moderate (99.6%). ISRs were self-resolving and &lt;1% of patients discontinued because of an ISR. Across all rezpegaldesleukin doses administered in the study over the 16-week induction period, 55.9% had no reports of ISRs, 30.1% had mild reports, 13.8% had moderate reports, and only 0.2% were severe. Other TEAEs more commonly observed (&gt;5%) in the study treatment arms (n=320) versus placebo (n=73) include eosinophilia (7.8% vs. 2.7%), pyrexia (6.3% vs 2.7%), headache (6.3% vs. 4.1%) and arthralgia (5.0% vs 1.4%). In the pooled rezpegaldesleukin arms, TEAEs, excluding ISRs, were reported in 60.3% of patients and in 57.5% of placebo-treated patients. There was no increased risk of conjunctivitis, oral ulcers, or infections, including oral herpes, in the rezpegaldesleukin arms.</w:t>
      </w:r>
    </w:p>
    <w:p>
      <w:pPr>
        <w:spacing w:after="0" w:line="15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On September 18, 2025, we presented new data from the Phase 2b REZOLVE-AD trial at the European Academy of Dermatology and Venereology (EADV) 2025 Congress. Building on previously presented data, these data demonstrated that high dose of 24 µg/kg q2w rezpegaldesleukin achieved statistical significance on multiple patient-reported outcome assessments at completion of the 16-week induction period. Additionally, as observed interim data for patients who previously received placebo during the induction period and crossed over to receive 24 weeks of treatment with high dose rezpegaldesleukin had increased EASI-75 and vIGA-AD efficacy with extended dosing beyond week 16.</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February 10, 2026, we announced data from the blinded 36-week maintenance period of the Phase 2b REZOLVE-AD trial. Rezpegaldesleukin demonstrated long-term durability and continued atopic dermatitis disease symptom improvement during the maintenance period. Q4w and q12w dosing regimens resulted in sustained disease control for EASI-75, EASI-90, vIGA-AD response, and Itch NRS response, with the 24 µg/kg q4w and q12w regimens showing the highest maintenance of response at week 52. 71% and 83% of patients maintained EASI-75 responses and 85% and 63% maintained vIGA-AD 0/1 responses with 24 µg/kg qw4 and q12w dosing, respectively, at week 52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meaningful proportion of patients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achieved new EASI-75, EASI-90, Itch NRS and vIGA-AD 0/1 responses at week 52 of the study. A two to five fold increase in percentage of patients who achieved EASI-100 was observed in the 24 µg/kg q4w and q12w dosing regimens. Among all re-randomized patients from week 16 to week 52, q4w maintenance dosing increased EASI-100 response from 4% to 22% and q12w dosing increased EASI-100 response from 9% to 18%. Among re-randomized patients who had an EASI-75 or vIGA-AD response at maintenance baseline, q4w dosing increased EASI-100 response from 6% to 30% and q12w dosing increased EASI-100 response from 14% to 27%.</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safety profile of rezpegaldesleukin in maintenance was consistent with observations from the induction part of the study. Rezpegaldesleukin was well-tolerated with no new safety concerns identified during the maintenance and escape periods. The discontinuation rate due to adverse events was 3.5% for all aggregated patients. Overall rates of TEAEs were 72% for rezpegaldesleukin treated patients, 65% for placebo patients in maintenance, and 83% for all escape patients. The most frequent TEAE was injection site reactions, nearly all of which were mild (77%), and which occurred at a lower rate and frequency than observed in the initial induction part of the study (discontinuation rate due to injection site reactions was 0.7%).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REZOLVE-AA Study</w:t>
      </w:r>
    </w:p>
    <w:p>
      <w:pPr>
        <w:spacing w:after="0" w:line="198"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On December 16, 2025, we announced topline results from the 36-week induction treatment period of the ongoing Phase 2b REZOLVE-AA study being conducted in 92 patients with severe-to-very-severe alopecia areata. Patients were randomized (3:3:2) to receive one of two rezpegaldesleukin doses (24 µg/kg or 18 µg/kg) or placebo, administered as a subcutaneous injection twice monthly. The primary endpoint was the mean percentage reduction from baseline in the Severity of Alopecia Tool (SALT) score at week 36. Following 36 weeks, patients who demonstrated hair growth but had not yet reached SALT</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20 had the option to continue for an additional 16 weeks of treatment through week 52 in a blinded extension period. Primary and secondary endpoints were assessed at the end of the 36-week induction treatment period.</w:t>
      </w:r>
    </w:p>
    <w:p>
      <w:pPr>
        <w:spacing w:after="0" w:line="147" w:lineRule="exact"/>
        <w:rPr>
          <w:sz w:val="20"/>
          <w:szCs w:val="20"/>
          <w:color w:val="auto"/>
        </w:rPr>
      </w:pPr>
    </w:p>
    <w:p>
      <w:pPr>
        <w:ind w:firstLine="644"/>
        <w:spacing w:after="0" w:line="244" w:lineRule="auto"/>
        <w:rPr>
          <w:sz w:val="20"/>
          <w:szCs w:val="20"/>
          <w:color w:val="auto"/>
        </w:rPr>
      </w:pPr>
      <w:r>
        <w:rPr>
          <w:rFonts w:ascii="Times New Roman" w:cs="Times New Roman" w:eastAsia="Times New Roman" w:hAnsi="Times New Roman"/>
          <w:sz w:val="18"/>
          <w:szCs w:val="18"/>
          <w:color w:val="auto"/>
        </w:rPr>
        <w:t>Both rezpegaldesleukin dose arms more than doubled the SALT score reduction treatment effect observed with placebo, with the majority of patients experiencing hair growth at week 16 or later. A mean percent SALT reduction at week 36 of 28.2% for the 24 µg/kg rezpegaldesleukin arm, 30.3% for the 18 µg/kg rezpegaldesleukin arm, and 11.2% for placebo (p=0.186 and p=0.121, respectively) was observed. At all timepoints, the rezpegaldesleukin treatment arms separated from placebo in the study. Both rezpegaldesleukin treatment arms showed a dose dependent clinical treatment effect as compared to placebo on the key secondary endpoints of SALT ≤30, SALT≤20 and SALT≤10 and SALT</w:t>
      </w:r>
      <w:r>
        <w:rPr>
          <w:rFonts w:ascii="Times New Roman" w:cs="Times New Roman" w:eastAsia="Times New Roman" w:hAnsi="Times New Roman"/>
          <w:sz w:val="24"/>
          <w:szCs w:val="24"/>
          <w:color w:val="auto"/>
          <w:vertAlign w:val="subscript"/>
        </w:rPr>
        <w:t>30</w:t>
      </w:r>
      <w:r>
        <w:rPr>
          <w:rFonts w:ascii="Times New Roman" w:cs="Times New Roman" w:eastAsia="Times New Roman" w:hAnsi="Times New Roman"/>
          <w:sz w:val="18"/>
          <w:szCs w:val="18"/>
          <w:color w:val="auto"/>
        </w:rPr>
        <w:t>.</w:t>
      </w:r>
    </w:p>
    <w:p>
      <w:pPr>
        <w:spacing w:after="0" w:line="147"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Four of 92 patients included in the modified intent-to-treat (mITT) analysis were found to have study eligibility violations that should have disqualified them for randomization into the trial. Both rezpegaldesleukin treatment arms met statistical significance on the primary endpoint when excluding the four patients with major study eligibility violations. At week 36, the mean percent SALT reduction was 29.6% for 24 µg/kg, 30.4% for 18 µg/kg, and 5.7% for placebo (p=0.049 and p=0.042, respectively). Importantly, the absolute treatment effect for the rezpegaldesleukin arms was similar with or without the exclusion of eligibility violations. One patient in the placebo arm with an eligibility violation accounted for the 5.5% difference in the performance of the placebo arm.</w:t>
      </w:r>
    </w:p>
    <w:p>
      <w:pPr>
        <w:spacing w:after="0" w:line="187"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Consistent with prior studies, a favorable safety and tolerability profile was observed, with nearly all TEAEs mild-to-moderate in severity and self-resolving, even in patients receiving 52 weeks of treatment. The discontinuation rate due to adverse events was 1.4% in the combined rezpegaldesleukin treatment arms. No patients discontinued treatment due to an ISR. The placebo adjusted-ISR rate was consistent with prior studies, with 87.0% of ISRs reported as mild. There was no increased risk of major adverse cardiovascular events, thrombosis, infection, acne or oral herpes for REZPEG-exposed patients, compared to placebo.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NKTR-0165 and NKTR-0166</w:t>
      </w:r>
    </w:p>
    <w:p>
      <w:pPr>
        <w:spacing w:after="0" w:line="189"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We believe that our preclinical tumor necrosis factor (TNF) receptor type II (TNFR2) agonist asset, NKTR-0165 is a potentially unique bivalent antibody that selectively stimulates TNFR2 receptor activity, without modulation of the TNFR1 signaling. TNFR2 signaling drives immunoregulatory function and is an important gatekeeper of inflammation and its absence or deficit is associated with a broad range of autoimmune diseases. TNFR2 is highly expressed on Tregs, neuronal cells and endothelial cells and has been shown to potentiate the suppressive effects and overall functional properties of Tregs. NKTR-0165 is being developed for potential treatment of autoimmune diseases, such as ulcerative colitis, multiple sclerosis and vitiligo. We are currently conducting Investigational New Drug (IND) enabling studies for this program, after having exercised an option to gain an exclusive license to specified agonistic antibodies and other materials that were developed pursuant to a research collaboration and license option agreement we entered into with Biolojic Design, Ltd. in 2021. We have also designed a unique bispecific antibody, NKTR-0166, that incorporates the TNFR2 agonist epitope and an antagonist epitope validated in the treatment of rheumatology diseases. As a dual agonist:antagonist of known pathways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disease pathogenesis, this investigational antibody is being developed to address a number of rheumatic disorders.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Oncology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NKTR-255</w:t>
      </w:r>
    </w:p>
    <w:p>
      <w:pPr>
        <w:spacing w:after="0" w:line="189"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In oncology, we focus on developing medicines based on targeting biological pathways that stimulate and sustain the body’s immune response in order to fight cancer. NKTR-255 is an investigational biologic that is designed to target the interleukin-15 (IL-15) pathway in order to activate the body’s innate and adaptive immunity. Activation of the IL-15 pathway enhances the survival and function of natural killer (NK) cells and induces survival of both effector and CD8+ memory T cells. Recombinant human IL-15 is rapidly cleared from the body and must be administered frequently and in high doses limiting its utility due to toxicity. Through optimal engagement of the IL-15 receptor complex, NKTR-255 is designed to enhance functional NK cell populations and the formation of long-term immunological memory, which may lead to sustained and durable anti-tumor immune response.</w:t>
      </w:r>
    </w:p>
    <w:p>
      <w:pPr>
        <w:spacing w:after="0" w:line="160" w:lineRule="exact"/>
        <w:rPr>
          <w:sz w:val="20"/>
          <w:szCs w:val="20"/>
          <w:color w:val="auto"/>
        </w:rPr>
      </w:pPr>
    </w:p>
    <w:p>
      <w:pPr>
        <w:ind w:firstLine="644"/>
        <w:spacing w:after="0" w:line="243" w:lineRule="auto"/>
        <w:rPr>
          <w:sz w:val="20"/>
          <w:szCs w:val="20"/>
          <w:color w:val="auto"/>
        </w:rPr>
      </w:pPr>
      <w:r>
        <w:rPr>
          <w:rFonts w:ascii="Times New Roman" w:cs="Times New Roman" w:eastAsia="Times New Roman" w:hAnsi="Times New Roman"/>
          <w:sz w:val="18"/>
          <w:szCs w:val="18"/>
          <w:color w:val="auto"/>
        </w:rPr>
        <w:t>We are continuing select developmental studies of NKTR-255 in combination with cell therapies and checkpoint inhibitors while we evaluate additional strategic partnership pathways for the program. Fred Hutchinson Cancer Center is evaluating NKTR-255 following Breyanzi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CD19 CAR-T cell therapy in patients with relapsed/refractory large B-cell lymphoma in an investigator sponsored study. We are continuing our oncology clinical collaboration with Merck KGaA to evaluate the maintenance regimen of NKTR-255 in combination with avelumab, a PD-L1 inhibitor, in patients with locally advanced or metastatic urothelial carcinoma in the Phase II JAVELIN Bladder Medley study. We also have an ongoing investigator sponsored study evaluating NKTR-255 in combination with IMFINZI (durvalumab) in patients with unresectable Stage 3 NSCLC who have received chemoradiation.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Programs</w:t>
      </w:r>
    </w:p>
    <w:p>
      <w:pPr>
        <w:spacing w:after="0" w:line="189" w:lineRule="exact"/>
        <w:rPr>
          <w:sz w:val="20"/>
          <w:szCs w:val="20"/>
          <w:color w:val="auto"/>
        </w:rPr>
      </w:pPr>
    </w:p>
    <w:p>
      <w:pPr>
        <w:ind w:right="240" w:firstLine="644"/>
        <w:spacing w:after="0" w:line="261" w:lineRule="auto"/>
        <w:rPr>
          <w:sz w:val="20"/>
          <w:szCs w:val="20"/>
          <w:color w:val="auto"/>
        </w:rPr>
      </w:pPr>
      <w:r>
        <w:rPr>
          <w:rFonts w:ascii="Times New Roman" w:cs="Times New Roman" w:eastAsia="Times New Roman" w:hAnsi="Times New Roman"/>
          <w:sz w:val="18"/>
          <w:szCs w:val="18"/>
          <w:color w:val="auto"/>
        </w:rPr>
        <w:t>We believe it is important to maintain a diverse pipeline of new drug candidates to build on the value of our business. Our discovery research organization continues to leverage its deep understanding of immunology to identify new drug candidates in a wide range of molecule classes, including proteins, peptides and antibodies. We aim to advance our most promising research drug candidates into preclinical development with the objective of advancing these early-stage research programs to human clinical studies over the next several years.</w:t>
      </w:r>
    </w:p>
    <w:p>
      <w:pPr>
        <w:spacing w:after="0" w:line="153"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believe our preclinical PEG-Colony Stimulating Factor (PEG-CSF1) program, NKTR-422, which is a polyethylene glycol modified version of the CSF1 protein that is intended to optimize receptor interaction and to selectively modulate resolution processes of inflammation, has applications in a number of therapeutic indications including acute and chronic inflammation as well as fibrosis. Colony Stimulating Factor 1 (CSF1), also known as macrophage colony-stimulating factor (M-CSF), is a cytokine that plays a crucial role in the development, survival and function of mononuclear phagocytes, including macrophages and monocytes. In tissues, CSF1 signaling regulates the biology of anti-inflammatory tissue-resident macrophages and NKTR-422 is designed to specifically target and drive the biology of this key anti-inflammatory cell population.</w:t>
      </w:r>
    </w:p>
    <w:p>
      <w:pPr>
        <w:spacing w:after="0" w:line="147" w:lineRule="exact"/>
        <w:rPr>
          <w:sz w:val="20"/>
          <w:szCs w:val="20"/>
          <w:color w:val="auto"/>
        </w:rPr>
      </w:pPr>
    </w:p>
    <w:p>
      <w:pPr>
        <w:ind w:right="60" w:firstLine="644"/>
        <w:spacing w:after="0" w:line="244" w:lineRule="auto"/>
        <w:rPr>
          <w:sz w:val="20"/>
          <w:szCs w:val="20"/>
          <w:color w:val="auto"/>
        </w:rPr>
      </w:pPr>
      <w:r>
        <w:rPr>
          <w:rFonts w:ascii="Times New Roman" w:cs="Times New Roman" w:eastAsia="Times New Roman" w:hAnsi="Times New Roman"/>
          <w:sz w:val="18"/>
          <w:szCs w:val="18"/>
          <w:color w:val="auto"/>
        </w:rPr>
        <w:t>Many of our drug candidates incorporate advanced and proven polymer conjugate technology, which involves conjugating polyethylene glycol to a pharmaceutically active agent, a process often referred to as “PEGylation.” PEGylation has been a highly effective technology for the development of therapeutics with significant commercial success, such as Amgen’s Neulasta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(pegfilgrastim) and UCB’s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(certolizumab pegol). We previously owned a manufacturing facility in Huntsville, Alabama (the Facility), which manufactured our proprietary polyethylene glycol reagents (PEG reagents) for our PEGylation and advanced polymer conjugate technology operations. As discussed in Notes 1 and 12 to our Consolidated Financial Statements, in December 2024, we sold the Facility and assigned our manufacturing and supply agreements to Gannet BioChem, an affiliate of Ampersand Management LLC d/b/a Ampersand Capital Partners, and we have retained an approximate 20% equity investment at the time of closing in Gannet BioChem.</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experience has shown that advanced polymer conjugate technology has the potential to offer one or more of the following benefits:</w:t>
      </w:r>
    </w:p>
    <w:p>
      <w:pPr>
        <w:spacing w:after="0" w:line="198" w:lineRule="exact"/>
        <w:rPr>
          <w:sz w:val="20"/>
          <w:szCs w:val="20"/>
          <w:color w:val="auto"/>
        </w:rPr>
      </w:pPr>
    </w:p>
    <w:p>
      <w:pPr>
        <w:ind w:left="1300" w:right="40" w:hanging="648"/>
        <w:spacing w:after="0" w:line="282" w:lineRule="auto"/>
        <w:tabs>
          <w:tab w:leader="none" w:pos="13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improve efficacy or safety of a drug as a result of better pharmacokinetics, pharmacodynamics, longer half-life and sustained exposure of the drug;</w:t>
      </w:r>
    </w:p>
    <w:p>
      <w:pPr>
        <w:spacing w:after="0" w:line="121" w:lineRule="exact"/>
        <w:rPr>
          <w:rFonts w:ascii="Times New Roman" w:cs="Times New Roman" w:eastAsia="Times New Roman" w:hAnsi="Times New Roman"/>
          <w:sz w:val="15"/>
          <w:szCs w:val="15"/>
          <w:color w:val="auto"/>
        </w:rPr>
      </w:pPr>
    </w:p>
    <w:p>
      <w:pPr>
        <w:ind w:left="1300" w:right="280" w:hanging="648"/>
        <w:spacing w:after="0" w:line="282" w:lineRule="auto"/>
        <w:tabs>
          <w:tab w:leader="none" w:pos="13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improve targeting or binding affinity of a drug to its target receptors with the potential to improve efficacy and reduce toxicity or drug resistance;</w:t>
      </w:r>
    </w:p>
    <w:p>
      <w:pPr>
        <w:spacing w:after="0" w:line="121" w:lineRule="exact"/>
        <w:rPr>
          <w:rFonts w:ascii="Times New Roman" w:cs="Times New Roman" w:eastAsia="Times New Roman" w:hAnsi="Times New Roman"/>
          <w:sz w:val="15"/>
          <w:szCs w:val="15"/>
          <w:color w:val="auto"/>
        </w:rPr>
      </w:pPr>
    </w:p>
    <w:p>
      <w:pPr>
        <w:ind w:left="1300" w:hanging="648"/>
        <w:spacing w:after="0"/>
        <w:tabs>
          <w:tab w:leader="none" w:pos="130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improve solubility of a drug;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right="220" w:hanging="648"/>
        <w:spacing w:after="0" w:line="282" w:lineRule="auto"/>
        <w:tabs>
          <w:tab w:leader="none" w:pos="13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enable oral administration of parenterally-administered drugs, or drugs that must be administered intravenously or subcutaneously, and increase oral bioavailability of small molecules;</w:t>
      </w:r>
    </w:p>
    <w:p>
      <w:pPr>
        <w:spacing w:after="0" w:line="134" w:lineRule="exact"/>
        <w:rPr>
          <w:rFonts w:ascii="Times New Roman" w:cs="Times New Roman" w:eastAsia="Times New Roman" w:hAnsi="Times New Roman"/>
          <w:sz w:val="15"/>
          <w:szCs w:val="15"/>
          <w:color w:val="auto"/>
        </w:rPr>
      </w:pPr>
    </w:p>
    <w:p>
      <w:pPr>
        <w:ind w:left="1300" w:right="120" w:hanging="648"/>
        <w:spacing w:after="0" w:line="282" w:lineRule="auto"/>
        <w:tabs>
          <w:tab w:leader="none" w:pos="13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reduce first-pass metabolism effects of certain drug classes with the potential to improve efficacy, which could reduce the need for other medicines and reduce toxicity;</w:t>
      </w:r>
    </w:p>
    <w:p>
      <w:pPr>
        <w:spacing w:after="0" w:line="121" w:lineRule="exact"/>
        <w:rPr>
          <w:rFonts w:ascii="Times New Roman" w:cs="Times New Roman" w:eastAsia="Times New Roman" w:hAnsi="Times New Roman"/>
          <w:sz w:val="15"/>
          <w:szCs w:val="15"/>
          <w:color w:val="auto"/>
        </w:rPr>
      </w:pPr>
    </w:p>
    <w:p>
      <w:pPr>
        <w:ind w:left="1300" w:right="100" w:hanging="648"/>
        <w:spacing w:after="0" w:line="282" w:lineRule="auto"/>
        <w:tabs>
          <w:tab w:leader="none" w:pos="13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reduce the rates of drug absorption and of elimination or metabolism by improving stability of the drug in the body and providing it with more time to act on its target;</w:t>
      </w:r>
    </w:p>
    <w:p>
      <w:pPr>
        <w:spacing w:after="0" w:line="121" w:lineRule="exact"/>
        <w:rPr>
          <w:rFonts w:ascii="Times New Roman" w:cs="Times New Roman" w:eastAsia="Times New Roman" w:hAnsi="Times New Roman"/>
          <w:sz w:val="15"/>
          <w:szCs w:val="15"/>
          <w:color w:val="auto"/>
        </w:rPr>
      </w:pPr>
    </w:p>
    <w:p>
      <w:pPr>
        <w:ind w:left="1300" w:hanging="648"/>
        <w:spacing w:after="0"/>
        <w:tabs>
          <w:tab w:leader="none" w:pos="13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differentially alter binding affinity of a drug for multiple receptors, improving its selectivity for one receptor over another; and</w:t>
      </w:r>
    </w:p>
    <w:p>
      <w:pPr>
        <w:spacing w:after="0" w:line="198" w:lineRule="exact"/>
        <w:rPr>
          <w:rFonts w:ascii="Times New Roman" w:cs="Times New Roman" w:eastAsia="Times New Roman" w:hAnsi="Times New Roman"/>
          <w:sz w:val="15"/>
          <w:szCs w:val="15"/>
          <w:color w:val="auto"/>
        </w:rPr>
      </w:pPr>
    </w:p>
    <w:p>
      <w:pPr>
        <w:ind w:left="1300" w:hanging="648"/>
        <w:spacing w:after="0"/>
        <w:tabs>
          <w:tab w:leader="none" w:pos="130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reduce immune response to certain macromolecules with the potential to prolong their effectiveness with repeated doses.</w:t>
      </w:r>
    </w:p>
    <w:p>
      <w:pPr>
        <w:spacing w:after="0" w:line="185" w:lineRule="exact"/>
        <w:rPr>
          <w:sz w:val="20"/>
          <w:szCs w:val="20"/>
          <w:color w:val="auto"/>
        </w:rPr>
      </w:pPr>
    </w:p>
    <w:p>
      <w:pPr>
        <w:ind w:right="200" w:firstLine="644"/>
        <w:spacing w:after="0" w:line="312" w:lineRule="auto"/>
        <w:rPr>
          <w:sz w:val="20"/>
          <w:szCs w:val="20"/>
          <w:color w:val="auto"/>
        </w:rPr>
      </w:pPr>
      <w:r>
        <w:rPr>
          <w:rFonts w:ascii="Times New Roman" w:cs="Times New Roman" w:eastAsia="Times New Roman" w:hAnsi="Times New Roman"/>
          <w:sz w:val="17"/>
          <w:szCs w:val="17"/>
          <w:color w:val="auto"/>
        </w:rPr>
        <w:t>We believe that our substantial investment in research and development has the potential to create significant value if one or more of our current drug candidates demonstrates positive clinical results, receives regulatory approval in one or more major markets and achieves commercial success.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Collaboration Partner Programs</w:t>
      </w:r>
    </w:p>
    <w:p>
      <w:pPr>
        <w:spacing w:after="0" w:line="202"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decide on a drug-candidate-by-drug-candidate basis, how far to advance clinical development (e.g., Phase 1, 2 or 3) and whether to commercialize products on our own, or seek a partner, or pursue a combination of these approaches. When we determine to seek a partner, our strategy is to selectively access a partner’s development, regulatory, or commercial capabilities with the structure of the collaboration depending on factors such as economic risk sharing, the cost and complexity of development, marketing and commercialization needs, therapeutic areas, potential for combination of drug programs, and geographic capabilities.</w:t>
      </w:r>
    </w:p>
    <w:p>
      <w:pPr>
        <w:spacing w:after="0" w:line="143"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Our collaboration partners have advanced drug candidates we invented into commercial drug products. In addition, through our collaborations and licensing partnerships with a number of well-known biotechnology and pharmaceutical companies, more than ten products using PEGylation technology have received regulatory approval in the U.S. or Europe. The following table outlines our prior collaborations and licensing partnerships. These collaborations generally contain one or more elements including a license to our intellectual property rights and manufacturing and supply agreements under which we may receive or have previously received manufacturing revenue, milestone payments, and/or royalties on commercial sales of drug products.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25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9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ADYNOVATE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ADYNOVI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name for ADYNOVATE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Europe)</w:t>
      </w:r>
    </w:p>
    <w:p>
      <w:pPr>
        <w:spacing w:after="0" w:line="117" w:lineRule="exact"/>
        <w:rPr>
          <w:sz w:val="20"/>
          <w:szCs w:val="20"/>
          <w:color w:val="auto"/>
        </w:rPr>
      </w:pPr>
    </w:p>
    <w:p>
      <w:pPr>
        <w:ind w:right="140"/>
        <w:spacing w:after="0" w:line="217" w:lineRule="auto"/>
        <w:rPr>
          <w:sz w:val="20"/>
          <w:szCs w:val="20"/>
          <w:color w:val="auto"/>
        </w:rPr>
      </w:pPr>
      <w:r>
        <w:rPr>
          <w:rFonts w:ascii="Times New Roman" w:cs="Times New Roman" w:eastAsia="Times New Roman" w:hAnsi="Times New Roman"/>
          <w:sz w:val="18"/>
          <w:szCs w:val="18"/>
          <w:color w:val="auto"/>
        </w:rPr>
        <w:t>MOVANTIK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(naloxegol tablets) and MOVENTIG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name for MOVANTIK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Europe)</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Primary or Target</w:t>
            </w:r>
          </w:p>
        </w:tc>
        <w:tc>
          <w:tcPr>
            <w:tcW w:w="2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Drug</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31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Indications</w:t>
            </w:r>
          </w:p>
        </w:tc>
        <w:tc>
          <w:tcPr>
            <w:tcW w:w="120" w:type="dxa"/>
            <w:vAlign w:val="bottom"/>
          </w:tcPr>
          <w:p>
            <w:pPr>
              <w:spacing w:after="0"/>
              <w:rPr>
                <w:sz w:val="20"/>
                <w:szCs w:val="20"/>
                <w:color w:val="auto"/>
              </w:rPr>
            </w:pPr>
          </w:p>
        </w:tc>
        <w:tc>
          <w:tcPr>
            <w:tcW w:w="23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Marketer/Partner</w:t>
            </w:r>
          </w:p>
        </w:tc>
        <w:tc>
          <w:tcPr>
            <w:tcW w:w="120" w:type="dxa"/>
            <w:vAlign w:val="bottom"/>
          </w:tcPr>
          <w:p>
            <w:pPr>
              <w:spacing w:after="0"/>
              <w:rPr>
                <w:sz w:val="20"/>
                <w:szCs w:val="20"/>
                <w:color w:val="auto"/>
              </w:rPr>
            </w:pPr>
          </w:p>
        </w:tc>
        <w:tc>
          <w:tcPr>
            <w:tcW w:w="1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Status(1)</w:t>
            </w:r>
          </w:p>
        </w:tc>
      </w:tr>
      <w:tr>
        <w:trPr>
          <w:trHeight w:val="407"/>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Hemophilia A</w:t>
            </w:r>
          </w:p>
        </w:tc>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Takeda Pharmaceutical Company Approved 2015*</w:t>
            </w:r>
          </w:p>
        </w:tc>
      </w:tr>
      <w:tr>
        <w:trPr>
          <w:trHeight w:val="234"/>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4"/>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Opioid-induced constipation in adult patientsAstraZeneca AB</w:t>
            </w:r>
          </w:p>
        </w:tc>
        <w:tc>
          <w:tcPr>
            <w:tcW w:w="1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Approved 2014*</w:t>
            </w: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 chronic non-cancer pain (US);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Opioid-induced constipation in adult patients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who have and inadequate response to</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laxatives (EU).</w:t>
            </w: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138" w:lineRule="exact"/>
        <w:rPr>
          <w:sz w:val="20"/>
          <w:szCs w:val="20"/>
          <w:color w:val="auto"/>
        </w:rPr>
      </w:pPr>
    </w:p>
    <w:p>
      <w:pPr>
        <w:sectPr>
          <w:pgSz w:w="11900" w:h="16838" w:orient="portrait"/>
          <w:cols w:equalWidth="0" w:num="2">
            <w:col w:w="3700" w:space="240"/>
            <w:col w:w="730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7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(certolizumab pegol)</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Crohn’s disease, Rheumatoid arthritis, and</w:t>
            </w:r>
          </w:p>
        </w:tc>
        <w:tc>
          <w:tcPr>
            <w:tcW w:w="2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UCB Pharma</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Approved 2008**</w:t>
            </w:r>
          </w:p>
        </w:tc>
      </w:tr>
      <w:tr>
        <w:trPr>
          <w:trHeight w:val="234"/>
        </w:trPr>
        <w:tc>
          <w:tcPr>
            <w:tcW w:w="3860" w:type="dxa"/>
            <w:vAlign w:val="bottom"/>
          </w:tcPr>
          <w:p>
            <w:pPr>
              <w:spacing w:after="0"/>
              <w:rPr>
                <w:sz w:val="20"/>
                <w:szCs w:val="20"/>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Psoriasis/ Ankylosing Spondylitis</w:t>
            </w:r>
          </w:p>
        </w:tc>
        <w:tc>
          <w:tcPr>
            <w:tcW w:w="24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(C.E.R.A.) (Continuous Erythropoietin</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Anemia associated with chronic kidney</w:t>
            </w:r>
          </w:p>
        </w:tc>
        <w:tc>
          <w:tcPr>
            <w:tcW w:w="2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 Hoffmann-La Roche Ltd</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Approved 2007**</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Receptor Activator)</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disease in patients on dialysis and patients</w:t>
            </w:r>
          </w:p>
        </w:tc>
        <w:tc>
          <w:tcPr>
            <w:tcW w:w="24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 on dialysis</w:t>
            </w:r>
          </w:p>
        </w:tc>
        <w:tc>
          <w:tcPr>
            <w:tcW w:w="24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9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Macugen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(pegaptanib sodium injection)</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Age-related macular degeneration</w:t>
            </w:r>
          </w:p>
        </w:tc>
        <w:tc>
          <w:tcPr>
            <w:tcW w:w="2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Bausch Health Companies Inc.</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Approved 2004</w:t>
            </w:r>
          </w:p>
        </w:tc>
      </w:tr>
      <w:tr>
        <w:trPr>
          <w:trHeight w:val="586"/>
        </w:trPr>
        <w:tc>
          <w:tcPr>
            <w:tcW w:w="3860" w:type="dxa"/>
            <w:vAlign w:val="bottom"/>
          </w:tcPr>
          <w:p>
            <w:pPr>
              <w:spacing w:after="0"/>
              <w:rPr>
                <w:sz w:val="24"/>
                <w:szCs w:val="24"/>
                <w:color w:val="auto"/>
              </w:rPr>
            </w:pPr>
          </w:p>
        </w:tc>
        <w:tc>
          <w:tcPr>
            <w:tcW w:w="326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10</w:t>
            </w:r>
          </w:p>
        </w:tc>
        <w:tc>
          <w:tcPr>
            <w:tcW w:w="24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8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Primary or Target</w:t>
            </w:r>
          </w:p>
        </w:tc>
        <w:tc>
          <w:tcPr>
            <w:tcW w:w="120" w:type="dxa"/>
            <w:vAlign w:val="bottom"/>
          </w:tcPr>
          <w:p>
            <w:pPr>
              <w:spacing w:after="0"/>
              <w:rPr>
                <w:sz w:val="18"/>
                <w:szCs w:val="18"/>
                <w:color w:val="auto"/>
              </w:rPr>
            </w:pPr>
          </w:p>
        </w:tc>
        <w:tc>
          <w:tcPr>
            <w:tcW w:w="23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Drug</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38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Drug</w:t>
            </w:r>
          </w:p>
        </w:tc>
        <w:tc>
          <w:tcPr>
            <w:tcW w:w="120" w:type="dxa"/>
            <w:vAlign w:val="bottom"/>
          </w:tcPr>
          <w:p>
            <w:pPr>
              <w:spacing w:after="0"/>
              <w:rPr>
                <w:sz w:val="20"/>
                <w:szCs w:val="20"/>
                <w:color w:val="auto"/>
              </w:rPr>
            </w:pPr>
          </w:p>
        </w:tc>
        <w:tc>
          <w:tcPr>
            <w:tcW w:w="31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Indications</w:t>
            </w:r>
          </w:p>
        </w:tc>
        <w:tc>
          <w:tcPr>
            <w:tcW w:w="120" w:type="dxa"/>
            <w:vAlign w:val="bottom"/>
          </w:tcPr>
          <w:p>
            <w:pPr>
              <w:spacing w:after="0"/>
              <w:rPr>
                <w:sz w:val="20"/>
                <w:szCs w:val="20"/>
                <w:color w:val="auto"/>
              </w:rPr>
            </w:pPr>
          </w:p>
        </w:tc>
        <w:tc>
          <w:tcPr>
            <w:tcW w:w="23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Marketer/Partner</w:t>
            </w:r>
          </w:p>
        </w:tc>
        <w:tc>
          <w:tcPr>
            <w:tcW w:w="120" w:type="dxa"/>
            <w:vAlign w:val="bottom"/>
          </w:tcPr>
          <w:p>
            <w:pPr>
              <w:spacing w:after="0"/>
              <w:rPr>
                <w:sz w:val="20"/>
                <w:szCs w:val="20"/>
                <w:color w:val="auto"/>
              </w:rPr>
            </w:pPr>
          </w:p>
        </w:tc>
        <w:tc>
          <w:tcPr>
            <w:tcW w:w="1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Status(1)</w:t>
            </w:r>
          </w:p>
        </w:tc>
      </w:tr>
      <w:tr>
        <w:trPr>
          <w:trHeight w:val="191"/>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(formerly, Valeant</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 International,</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9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Somavert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(pegvisomant)</w:t>
            </w:r>
          </w:p>
        </w:tc>
        <w:tc>
          <w:tcPr>
            <w:tcW w:w="120" w:type="dxa"/>
            <w:vAlign w:val="bottom"/>
          </w:tcPr>
          <w:p>
            <w:pPr>
              <w:spacing w:after="0"/>
              <w:rPr>
                <w:sz w:val="24"/>
                <w:szCs w:val="24"/>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Acromegaly</w:t>
            </w:r>
          </w:p>
        </w:tc>
        <w:tc>
          <w:tcPr>
            <w:tcW w:w="1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Pfizer Inc.</w:t>
            </w:r>
          </w:p>
        </w:tc>
        <w:tc>
          <w:tcPr>
            <w:tcW w:w="1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Approved 2003</w:t>
            </w:r>
          </w:p>
        </w:tc>
      </w:tr>
      <w:tr>
        <w:trPr>
          <w:trHeight w:val="37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Dapirolizumab Pegol</w:t>
            </w:r>
          </w:p>
        </w:tc>
        <w:tc>
          <w:tcPr>
            <w:tcW w:w="120" w:type="dxa"/>
            <w:vAlign w:val="bottom"/>
          </w:tcPr>
          <w:p>
            <w:pPr>
              <w:spacing w:after="0"/>
              <w:rPr>
                <w:sz w:val="24"/>
                <w:szCs w:val="24"/>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Systemic Lupus Erythematosus</w:t>
            </w:r>
          </w:p>
        </w:tc>
        <w:tc>
          <w:tcPr>
            <w:tcW w:w="1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UCB Pharma (Biogen)</w:t>
            </w:r>
          </w:p>
        </w:tc>
        <w:tc>
          <w:tcPr>
            <w:tcW w:w="12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Phase 3</w:t>
            </w:r>
          </w:p>
        </w:tc>
      </w:tr>
    </w:tbl>
    <w:p>
      <w:pPr>
        <w:spacing w:after="0" w:line="198"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Status definitions are:</w:t>
      </w:r>
    </w:p>
    <w:p>
      <w:pPr>
        <w:spacing w:after="0" w:line="27" w:lineRule="exact"/>
        <w:rPr>
          <w:sz w:val="20"/>
          <w:szCs w:val="20"/>
          <w:color w:val="auto"/>
        </w:rPr>
      </w:pPr>
    </w:p>
    <w:p>
      <w:pPr>
        <w:ind w:left="380" w:right="8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Approved </w:t>
      </w:r>
      <w:r>
        <w:rPr>
          <w:rFonts w:ascii="Times New Roman" w:cs="Times New Roman" w:eastAsia="Times New Roman" w:hAnsi="Times New Roman"/>
          <w:sz w:val="18"/>
          <w:szCs w:val="18"/>
          <w:color w:val="auto"/>
        </w:rPr>
        <w:t>— regulatory approval to market and sell product obtained in one or more of the U.S., EU or other countries. Year indicates first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w:t>
      </w:r>
    </w:p>
    <w:p>
      <w:pPr>
        <w:spacing w:after="0" w:line="1" w:lineRule="exact"/>
        <w:rPr>
          <w:sz w:val="20"/>
          <w:szCs w:val="20"/>
          <w:color w:val="auto"/>
        </w:rPr>
      </w:pPr>
    </w:p>
    <w:p>
      <w:pPr>
        <w:ind w:left="380" w:right="260"/>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drug candidate in large-scale clinical trials conducted to obtain regulatory approval to market and sell the drug (these trials are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initiated following encouraging Phase 2 trial results).</w:t>
      </w:r>
    </w:p>
    <w:p>
      <w:pPr>
        <w:spacing w:after="0" w:line="1" w:lineRule="exact"/>
        <w:rPr>
          <w:sz w:val="20"/>
          <w:szCs w:val="20"/>
          <w:color w:val="auto"/>
        </w:rPr>
      </w:pPr>
    </w:p>
    <w:p>
      <w:pPr>
        <w:ind w:left="380" w:right="380" w:hanging="372"/>
        <w:spacing w:after="0" w:line="225" w:lineRule="auto"/>
        <w:tabs>
          <w:tab w:leader="none" w:pos="321"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December 2020, pursuant to a purchase and sale agreement (the 2020 Purchase and Sale Agreement) we sold to entities managed by Healthcare Royalty Management, LLC (HCR) our rights to receive royalties on future worldwide sales of ADYNOVATE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/ADYNOVI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MOVANTIK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/MOVANTIG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(as well as REBINYN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specified licensed products under a Right to Sublicense Agreement, dated October 27, 2017) from and after October 1, 2020 under a capped arrangement. On March 4, 2024, Nektar and HCR amended the 2020 Purchase and Sale</w:t>
      </w:r>
    </w:p>
    <w:p>
      <w:pPr>
        <w:ind w:left="380"/>
        <w:spacing w:after="0" w:line="221" w:lineRule="auto"/>
        <w:rPr>
          <w:sz w:val="20"/>
          <w:szCs w:val="20"/>
          <w:color w:val="auto"/>
        </w:rPr>
      </w:pPr>
      <w:r>
        <w:rPr>
          <w:rFonts w:ascii="Times New Roman" w:cs="Times New Roman" w:eastAsia="Times New Roman" w:hAnsi="Times New Roman"/>
          <w:sz w:val="18"/>
          <w:szCs w:val="18"/>
          <w:color w:val="auto"/>
        </w:rPr>
        <w:t>Agreement to remove the cap on the royalties in exchange for a $15.0 million payment to Nektar.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February 2012, we sold our rights to receive royalties on future worldwide net sales of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effective as of January 1, 2012.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and Approval Process</w:t>
      </w:r>
    </w:p>
    <w:p>
      <w:pPr>
        <w:spacing w:after="0" w:line="200"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The research and development, clinical testing, manufacture and marketing of our drug candidates and products using our technologies are subject to regulation by the FDA and by comparable regulatory agencies in other countries. These national agencies and other federal, state and local entities regulate, among other things, research and development activities and the testing (in vitro, in animals, and in human clinical trials), manufacture, labeling, storage, recordkeeping, approval, marketing, advertising and promotion of our products.</w:t>
      </w:r>
    </w:p>
    <w:p>
      <w:pPr>
        <w:spacing w:after="0" w:line="139" w:lineRule="exact"/>
        <w:rPr>
          <w:sz w:val="20"/>
          <w:szCs w:val="20"/>
          <w:color w:val="auto"/>
        </w:rPr>
      </w:pPr>
    </w:p>
    <w:p>
      <w:pPr>
        <w:jc w:val="both"/>
        <w:ind w:right="120" w:firstLine="644"/>
        <w:spacing w:after="0" w:line="266" w:lineRule="auto"/>
        <w:rPr>
          <w:sz w:val="20"/>
          <w:szCs w:val="20"/>
          <w:color w:val="auto"/>
        </w:rPr>
      </w:pPr>
      <w:r>
        <w:rPr>
          <w:rFonts w:ascii="Times New Roman" w:cs="Times New Roman" w:eastAsia="Times New Roman" w:hAnsi="Times New Roman"/>
          <w:sz w:val="18"/>
          <w:szCs w:val="18"/>
          <w:color w:val="auto"/>
        </w:rPr>
        <w:t>Among other things, the approval process required by the FDA before a drug candidate may be marketed in the U.S. will depend on whether the chemical composition of the active chemical ingredient in the drug candidate has previously been approved for use in other dosage forms. If the product is a new chemical entity that has not been previously approved, the process includes the following:</w:t>
      </w:r>
    </w:p>
    <w:p>
      <w:pPr>
        <w:spacing w:after="0" w:line="135" w:lineRule="exact"/>
        <w:rPr>
          <w:sz w:val="20"/>
          <w:szCs w:val="20"/>
          <w:color w:val="auto"/>
        </w:rPr>
      </w:pPr>
    </w:p>
    <w:p>
      <w:pPr>
        <w:ind w:left="1300" w:hanging="648"/>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preclinical laboratory and animal testing;</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Investigational New Drug (IND) prior to commencing clinical trials;</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drug for the intended indication;</w:t>
      </w:r>
    </w:p>
    <w:p>
      <w:pPr>
        <w:spacing w:after="0" w:line="184" w:lineRule="exact"/>
        <w:rPr>
          <w:rFonts w:ascii="Times New Roman" w:cs="Times New Roman" w:eastAsia="Times New Roman" w:hAnsi="Times New Roman"/>
          <w:sz w:val="18"/>
          <w:szCs w:val="18"/>
          <w:color w:val="auto"/>
        </w:rPr>
      </w:pPr>
    </w:p>
    <w:p>
      <w:pPr>
        <w:ind w:left="1300" w:right="580" w:hanging="648"/>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pharmaceutical development for the characterization of the chemistry, manufacturing process and controls for the active ingredient and drug product; and</w:t>
      </w:r>
    </w:p>
    <w:p>
      <w:pPr>
        <w:spacing w:after="0" w:line="134" w:lineRule="exact"/>
        <w:rPr>
          <w:rFonts w:ascii="Times New Roman" w:cs="Times New Roman" w:eastAsia="Times New Roman" w:hAnsi="Times New Roman"/>
          <w:sz w:val="18"/>
          <w:szCs w:val="18"/>
          <w:color w:val="auto"/>
        </w:rPr>
      </w:pPr>
    </w:p>
    <w:p>
      <w:pPr>
        <w:ind w:left="1300" w:right="20" w:hanging="648"/>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for approval of a drug or a Biological License Application (BLA) for approval of a biological product.</w:t>
      </w:r>
    </w:p>
    <w:p>
      <w:pPr>
        <w:spacing w:after="0" w:line="121" w:lineRule="exact"/>
        <w:rPr>
          <w:sz w:val="20"/>
          <w:szCs w:val="20"/>
          <w:color w:val="auto"/>
        </w:rPr>
      </w:pPr>
    </w:p>
    <w:p>
      <w:pPr>
        <w:ind w:right="280" w:firstLine="644"/>
        <w:spacing w:after="0" w:line="261" w:lineRule="auto"/>
        <w:rPr>
          <w:sz w:val="20"/>
          <w:szCs w:val="20"/>
          <w:color w:val="auto"/>
        </w:rPr>
      </w:pPr>
      <w:r>
        <w:rPr>
          <w:rFonts w:ascii="Times New Roman" w:cs="Times New Roman" w:eastAsia="Times New Roman" w:hAnsi="Times New Roman"/>
          <w:sz w:val="18"/>
          <w:szCs w:val="18"/>
          <w:color w:val="auto"/>
        </w:rPr>
        <w:t>If the active chemical ingredient has been previously approved by the FDA, the approval process is similar, except that certain preclinical tests, including those relating to systemic toxicity normally required for the IND, as well as for NDA or BLA, and clinical trials, may not be necessary if the company has a right of reference to existing preclinical or clinical data under Section 505(j) of the Federal Food, Drug, and Cosmetic Act (FDCA) or is eligible for approval under Section 505(b)(2) of the FDCA or the biosimilars provisions of the Public Health Services Act.</w:t>
      </w:r>
    </w:p>
    <w:p>
      <w:pPr>
        <w:spacing w:after="0" w:line="139" w:lineRule="exact"/>
        <w:rPr>
          <w:sz w:val="20"/>
          <w:szCs w:val="20"/>
          <w:color w:val="auto"/>
        </w:rPr>
      </w:pPr>
    </w:p>
    <w:p>
      <w:pPr>
        <w:ind w:right="360" w:firstLine="644"/>
        <w:spacing w:after="0" w:line="266"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and animal studies to assess the safety and efficacy of the product and its chosen formulation. Preclinical safety tests must be conducted by laboratories that comply with FDA good laboratory practices (GLP) regulations. The results of the preclinical tests for drugs, biological products and</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combination products subject to the primary jurisdiction of the FDA’s Center for Drug Evaluation and Research (CDER) or Center for Biologics Evaluation and Research (CBER) are submitted to the FDA as part of the IND and are reviewed by the FDA before clinical trials can begin. Clinical trials may begin 30 days after receipt of the IND by the FDA, unless the FDA raises objections or requires clarification within that period. Clinical trials involve the administration of the drug to healthy volunteers or patients under the supervision of a qualified, identified medical investigator according to a protocol submitted in the IND for FDA review. Drug products to be used in clinical trials must be manufactured according to current good manufacturing practices (cGMP). Clinical trials are conducted in accordance with protocols that detail the objectives of the study and the parameters to be used to monitor participant safety and product efficacy as well as other criteria to be evaluated in the study. Each protocol is submitted to the FDA in the IND.</w:t>
      </w:r>
    </w:p>
    <w:p>
      <w:pPr>
        <w:spacing w:after="0" w:line="162"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Apart from the IND process described above, each clinical study must be reviewed by an independent Institutional Review Board (IRB), and the IRB must be kept current with respect to the status of the clinical study. The IRB considers, among other things, ethical factors, the potential risks to subjects participating in the trial and the possible liability to the institution where the trial is conducted. The IRB also reviews and approves the informed consent form to be signed by the trial participants and any significant changes in the clinical trial.</w:t>
      </w:r>
    </w:p>
    <w:p>
      <w:pPr>
        <w:spacing w:after="0" w:line="139" w:lineRule="exact"/>
        <w:rPr>
          <w:sz w:val="20"/>
          <w:szCs w:val="20"/>
          <w:color w:val="auto"/>
        </w:rPr>
      </w:pPr>
    </w:p>
    <w:p>
      <w:pPr>
        <w:jc w:val="both"/>
        <w:ind w:right="140" w:firstLine="644"/>
        <w:spacing w:after="0" w:line="266" w:lineRule="auto"/>
        <w:rPr>
          <w:sz w:val="20"/>
          <w:szCs w:val="20"/>
          <w:color w:val="auto"/>
        </w:rPr>
      </w:pPr>
      <w:r>
        <w:rPr>
          <w:rFonts w:ascii="Times New Roman" w:cs="Times New Roman" w:eastAsia="Times New Roman" w:hAnsi="Times New Roman"/>
          <w:sz w:val="18"/>
          <w:szCs w:val="18"/>
          <w:color w:val="auto"/>
        </w:rPr>
        <w:t>Clinical trials are typically conducted in three sequential phases. Phase 1 involves the initial introduction of the drug into healthy human subjects (in most cases) and the product generally is tested for tolerability, pharmacokinetics, absorption, metabolism and excretion. Phase 2 involves studies in a limited patient population to:</w:t>
      </w:r>
    </w:p>
    <w:p>
      <w:pPr>
        <w:spacing w:after="0" w:line="135" w:lineRule="exact"/>
        <w:rPr>
          <w:sz w:val="20"/>
          <w:szCs w:val="20"/>
          <w:color w:val="auto"/>
        </w:rPr>
      </w:pPr>
    </w:p>
    <w:p>
      <w:pPr>
        <w:ind w:left="1300" w:hanging="648"/>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preliminary efficacy of the product for specific targeted indications;</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dosage and regimen of administration; and</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possible adverse effects and safety risks.</w:t>
      </w:r>
    </w:p>
    <w:p>
      <w:pPr>
        <w:spacing w:after="0" w:line="185"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If Phase 2 trials demonstrate that a product appears to be effective and to have an acceptable safety profile, Phase 3 trials are typically undertaken to evaluate the further clinical efficacy and safety of the drug and formulation within an expanded patient population at geographically dispersed clinical study sites and in large enough trials to provide statistical proof of efficacy and tolerability. The FDA, the clinical trial sponsor, the investigators or the IRB may suspend clinical trials at any time if, amongst other reasons, any one of them believes that study participants are being subjected to an unacceptable health risk. In some cases, the FDA and the drug sponsor may determine that Phase 2 trials are not needed prior to entering Phase 3 trials.</w:t>
      </w:r>
    </w:p>
    <w:p>
      <w:pPr>
        <w:spacing w:after="0" w:line="156"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Following a series of formal meetings and communications between the drug sponsor and the regulatory agencies, the results of product development, preclinical studies and clinical studies are submitted to the FDA as an NDA or BLA for approval of the marketing and commercial shipment of the drug product. The FDA may deny approval if applicable regulatory criteria are not satisfied or may require additional clinical or pharmaceutical testing or requirements. Even if such data are submitted, the FDA may ultimately decide that the NDA or BLA does not satisfy all of the criteria for approval. The FDA may refer applications for novel products or products that present difficult questions of safety or efficacy to an advisory committee, typically comprised of clinicians and other experts, for evaluation and a recommendation as to whether the application should be approved and, if so, under what conditions. The FDA is not bound by the recommendations of an advisory committee, but it considers such recommendations carefully when making decisions. Additionally, the approved labeling may narrowly limit the conditions of use of the product, including the intended uses, or impose warnings, precautions or contraindications which could significantly limit the potential market for the product. Further, as a condition of approval, the FDA may impose post-market surveillance, or Phase 4, studies or risk evaluation and mitigation strategies (REMS).</w:t>
      </w:r>
    </w:p>
    <w:p>
      <w:pPr>
        <w:spacing w:after="0" w:line="154"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Good Manufacturing Practices (cGMP) requirements and adequate to ensure consistent production of the product within required specifications. Additionally, before approving an NDA or BLA, the FDA may inspect clinical sites to assure that the clinical trials were conducted in compliance with IND study requirements and good clinical practices (GCPs). If the FDA determines the manufacturing process or manufacturing facilities are not acceptable, it typically will outline the deficiencies and often will require the facility to take corrective action and provide documentation evidencing the implementation of such corrective action, which may delay further review of the application. If the FDA finds that a clinical site did not conduct the clinical trial in accordance with GCPs, the FDA may determine the data generated by the site should be excluded from the primary efficacy analyses provided in the NDA or BLA, and request additional testing or data. Additionally, the FDA ultimately may still decide that the application does not satisfy the regulatory criteria for approval.</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40" w:firstLine="644"/>
        <w:spacing w:after="0" w:line="255" w:lineRule="auto"/>
        <w:rPr>
          <w:sz w:val="20"/>
          <w:szCs w:val="20"/>
          <w:color w:val="auto"/>
        </w:rPr>
      </w:pPr>
      <w:r>
        <w:rPr>
          <w:rFonts w:ascii="Times New Roman" w:cs="Times New Roman" w:eastAsia="Times New Roman" w:hAnsi="Times New Roman"/>
          <w:sz w:val="18"/>
          <w:szCs w:val="18"/>
          <w:color w:val="auto"/>
        </w:rPr>
        <w:t>In situations where our partners are responsible for clinical and regulatory approval procedures, we may still participate in this process by submitting to the FDA a drug master file developed and maintained by us which contains data concerning the manufacturing processes for polymer conjugation materials (if incorporated) or drug product. For those products for which we have development responsibility, we prepare and submit an IND and are responsible for additional clinical and regulatory procedures for drug candidates being developed under an IND. The clinical and manufacturing, development and regulatory review and approval process generally takes a number of years and requires the expenditure of substantial resources. Our ability to manufacture and market products, whether developed by us or under collaboration agreements, ultimately depends upon the completion of satisfactory clinical trials and success in obtaining marketing approvals from the FDA and equivalent foreign health authorities.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87"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Products manufactured or distributed pursuant to FDA approvals are subject to continuing regulation by the FDA, including, among other things, requirements relating to monitoring, record-keeping, advertising and promotion, reporting of adverse experiences, and limitations on industry-sponsored scientific and educational activities. Further, if there are any modifications to the drug or biologic, including changes in indications, labeling or manufacturing processes or facilities, the applicant may be required to submit and obtain FDA approval of a new NDA or BLA or a supplemental NDA or BLA supplement, which may require the development of additional data or preclinical studies and clinical trials.</w:t>
      </w:r>
    </w:p>
    <w:p>
      <w:pPr>
        <w:spacing w:after="0" w:line="143"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FDA regulations require that approved products be manufactured in specific approved facilities and in accordance with cGMP regulations which require, among other things, quality control and quality assurance, the maintenance of records and documentation, and the obligation to investigate and correct any deviations from cGMP. Manufacturers and other entities involved in the manufacture and distribution of approved drugs or biologics, and those supplying products, ingredients, and components of them, are required to register their establishments with the FDA and certain state agencies, and are subject to periodic announced and unannounced inspections by the FDA and certain state agencies for compliance with cGMP requirements and other regulatory requirements. The discovery of violative conditions, including failure to conform to cGMP regulations, could result in enforcement actions. Accordingly, manufacturers must continue to expend time, money and effort in the area of production and quality control to maintain cGMP compliance.</w:t>
      </w:r>
    </w:p>
    <w:p>
      <w:pPr>
        <w:spacing w:after="0" w:line="16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does not regulate behavior of physicians in their choice of treatments and physicians may legally prescribe available products for uses that are not described in the product’s labeling and that differ from those approved by the FDA. However, the FDA does restrict an applicant’s communications on the subject of off-label use of their products. The FDA and other agencies actively enforce the laws prohibiting the marketing and promotion of off-label uses, and a company that is found to have improperly marketed or promoted off-label use may be subject to significant liability, including criminal and civil penalties under the FDCA and False Claims Act, exclusion from participation in federal healthcare programs, and mandatory compliance programs.</w:t>
      </w:r>
    </w:p>
    <w:p>
      <w:pPr>
        <w:spacing w:after="0" w:line="148" w:lineRule="exact"/>
        <w:rPr>
          <w:sz w:val="20"/>
          <w:szCs w:val="20"/>
          <w:color w:val="auto"/>
        </w:rPr>
      </w:pPr>
    </w:p>
    <w:p>
      <w:pPr>
        <w:ind w:right="240" w:firstLine="644"/>
        <w:spacing w:after="0" w:line="266" w:lineRule="auto"/>
        <w:rPr>
          <w:sz w:val="20"/>
          <w:szCs w:val="20"/>
          <w:color w:val="auto"/>
        </w:rPr>
      </w:pPr>
      <w:r>
        <w:rPr>
          <w:rFonts w:ascii="Times New Roman" w:cs="Times New Roman" w:eastAsia="Times New Roman" w:hAnsi="Times New Roman"/>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restrictions on a product, and judicial or administrative enforcement.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200"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demonstrate the potential to address an unmet medical need in the treatment of a serious or life-threatening disease or condition for which there is no effective treatment. These programs include Fast Track designation and Breakthrough Therapy designation.</w:t>
      </w:r>
    </w:p>
    <w:p>
      <w:pPr>
        <w:spacing w:after="0" w:line="133"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Fast Track Designation. </w:t>
      </w:r>
      <w:r>
        <w:rPr>
          <w:rFonts w:ascii="Times New Roman" w:cs="Times New Roman" w:eastAsia="Times New Roman" w:hAnsi="Times New Roman"/>
          <w:sz w:val="18"/>
          <w:szCs w:val="18"/>
          <w:color w:val="auto"/>
        </w:rPr>
        <w:t>The FDA may grant “fast track” status to product candidates that are intended to treat serious or life-threatening diseases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conditions and demonstrate the potential to address an unmet medical need for the condition. Fast Track is a process designed to facilitate the development and expedite the review of such product candidates by providing, among other things, more frequent meetings with the FDA to discuss the product candidate’s development plan and rolling review, which allows submission of individually completed sections of an NDA or BLA for FDA review before the entire submission is completed. Fast Track designation applies to the combination of the product and the specific indication for which it is being studied. The sponsor of a product candidate may request the FDA to designate the product as a Fast Track product at any time during clinical development. Fast Track status does not ensure that a product will be developed more quickly or receive FDA approval. In addition, the Fast Track designation may be withdrawn by the FDA if the FDA believes that the designation is no longer supported by data emerging in the clinical trial process, or if the designated drug development program is no longer being pursued.</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A product candidate intended to treat a serious or life-threatening disease or condition may also be eligible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Breakthrough Therapy designation if preliminary clinical evidence indicates that it may demonstrate substantial improvement over existing therapies on one or more clinically significant endpoints. If so designated, the FDA will expedite the development and review of the product candidate’s marketing application, including by meeting with, and providing advice to, the sponsor throughout the product candidate’s development, and taking steps to facilitate an efficient review of the development program and to ensure that the design of the clinical trials is as efficient as practicable.</w:t>
      </w:r>
    </w:p>
    <w:p>
      <w:pPr>
        <w:spacing w:after="0" w:line="158"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Fast Track designation and Breakthrough Therapy designation do not change the standards for approval but may expedite the development or approval process. Moreover, even if a product candidate or platform technology qualifies for one or more of these programs, the FDA may later decide that the product candidate or platform technology no longer meets the conditions for qualification or decide that the time period for FDA review or approval will not be shortened.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87"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In the U.S., under the Orphan Drug Act, the FDA may grant Orphan Drug Designation to drugs intended to treat a rare disease or condition, which is generally a disease or condition that affects fewer than 200,000 individuals in the U.S., or more than 200,000 individuals in the U.S. and for which there is no reasonable expectation that the cost of developing and making a biological product or drug in the U.S. for this type of disease or condition will be recovered from sales of the product. The company that obtains the first FDA approval for a designated orphan drug for a rare disease receives marketing exclusivity for use of that drug for the designated condition for a period of seven years. In addition, the Orphan Drug Act provides for protocol assistance, tax credits, research grants, and exclusions from user fees for sponsors of orphan products. Once a product receives orphan drug exclusivity, a second product that is considered to be the same drug for the same approved use or indication generally may be approved during the exclusivity period only if the second product is shown to be “clinically superior” to the original orphan drug in that it is more effective, safer or otherwise makes a “major contribution to patient care” or the holder of exclusive approval cannot assure the availability of sufficient quantities of the orphan drug to meet the needs of patients with the disease or condition for which the drug was designated. Similar incentives also are available for orphan drugs in the EU.</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Reimbursement, and Pricing</w:t>
      </w:r>
    </w:p>
    <w:p>
      <w:pPr>
        <w:spacing w:after="0" w:line="187"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Sales of any products for which we may obtain regulatory approval depend, in part, on the coverage and reimbursement status of those products. In the U.S., sales of any products for which we may receive regulatory approval for commercial sale will depend in part on the availability of coverage and reimbursement from third-party payers. Third-party payers include government programs such as Medicare, Medicaid, TRICARE and the Veterans Administration, as well as managed care providers, private health insurers and other organizations. Other countries and jurisdictions will also have their own unique mechanisms for approval and reimbursement.</w:t>
      </w:r>
    </w:p>
    <w:p>
      <w:pPr>
        <w:spacing w:after="0" w:line="143"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The process for determining whether a payer will provide coverage for a product is typically separate from the process for setting the reimbursement rate that the payer will pay for the product. Third-party payers may limit coverage to specific products on an approved list or formulary which might not include all of the FDA-approved products for a particular indication. Third-party payers may also refuse to include a particular branded drug on their formularies or otherwise restrict patient access to a branded drug when a less costly generic equivalent or other alternative is available. Further, private payers often follow the coverage and payment policies established by certain government programs, such as Medicare and Medicaid, which require manufacturers to comply with certain rebate, price reporting, and other obligations. For example, the Medicaid Drug Rebate Program, which is part of the Medicaid program (a program for financially needy patients, among others), requires pharmaceutical manufacturers to enter into and have in effect a national rebate agreement with the Secretary of the Department of Health and Human Services under which the manufacturer agrees to report certain prices to the government and pay rebates to state Medicaid programs on outpatient drugs furnished to Medicaid patients, as a condition for receiving federal reimbursement for the manufacturer’s outpatient drugs furnished to Medicaid patients. Further, in order for a pharmaceutical product to receive federal reimbursement under Medicare Part B and Medicaid programs or to be sold directly to U.S. government agencies, the manufacturer must extend discounts to entities eligible to participate in the Public Health Service’s 340B drug pricing program.</w:t>
      </w:r>
    </w:p>
    <w:p>
      <w:pPr>
        <w:spacing w:after="0" w:line="163"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Third-party payers are increasingly challenging the prices charged for medical products and services, and examining the medical necessity and cost-effectiveness of medical products and services, in addition to their safety and efficacy. Additionally, the containment of healthcare costs has become a priority of federal and state governments, and the price of therapeutics have been a focus in this effort. The U.S. government and state legislatures have shown significant interest in implementing cost-containment programs, including price controls and restrictions on reimbursement, among other controls. Adoption of price controls or other cost-containment measures could limit coverage for or the amounts that federal and state governments or private payers will pay for health care products and services, which could also result in reduced demand for our drug candidates or additional pricing pressures and affect our ultimate profitability, if approved. If third-party payers do not consider a product to be cost-effective compared to other available therapies, they may not cover an approved product or, if they do, the level of payment may not be sufficient to allow us to sell our products at a profit.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60" w:firstLine="644"/>
        <w:spacing w:after="0" w:line="261" w:lineRule="auto"/>
        <w:rPr>
          <w:sz w:val="20"/>
          <w:szCs w:val="20"/>
          <w:color w:val="auto"/>
        </w:rPr>
      </w:pPr>
      <w:r>
        <w:rPr>
          <w:rFonts w:ascii="Times New Roman" w:cs="Times New Roman" w:eastAsia="Times New Roman" w:hAnsi="Times New Roman"/>
          <w:sz w:val="18"/>
          <w:szCs w:val="18"/>
          <w:color w:val="auto"/>
        </w:rPr>
        <w:t>The marketability of any products for which we receive regulatory approval for commercial sale may suffer if the government and third-party payers fail to provide adequate coverage and reimbursement.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 and Regulations</w:t>
      </w:r>
    </w:p>
    <w:p>
      <w:pPr>
        <w:spacing w:after="0" w:line="187" w:lineRule="exact"/>
        <w:rPr>
          <w:sz w:val="20"/>
          <w:szCs w:val="20"/>
          <w:color w:val="auto"/>
        </w:rPr>
      </w:pPr>
    </w:p>
    <w:p>
      <w:pPr>
        <w:ind w:right="220" w:firstLine="644"/>
        <w:spacing w:after="0" w:line="289" w:lineRule="auto"/>
        <w:rPr>
          <w:sz w:val="20"/>
          <w:szCs w:val="20"/>
          <w:color w:val="auto"/>
        </w:rPr>
      </w:pPr>
      <w:r>
        <w:rPr>
          <w:rFonts w:ascii="Times New Roman" w:cs="Times New Roman" w:eastAsia="Times New Roman" w:hAnsi="Times New Roman"/>
          <w:sz w:val="17"/>
          <w:szCs w:val="17"/>
          <w:color w:val="auto"/>
        </w:rPr>
        <w:t>If we obtain regulatory approval of our products, we may be subject to various federal and state laws targeting fraud and abuse in the healthcare industry. These laws may impact, among other things, our proposed sales and marketing programs. In addition, we may be subject to patient privacy regulations by both the federal government and the states in which we conduct our business. The laws that may affect our ability to operate include:</w:t>
      </w:r>
    </w:p>
    <w:p>
      <w:pPr>
        <w:spacing w:after="0" w:line="117" w:lineRule="exact"/>
        <w:rPr>
          <w:sz w:val="20"/>
          <w:szCs w:val="20"/>
          <w:color w:val="auto"/>
        </w:rPr>
      </w:pPr>
    </w:p>
    <w:p>
      <w:pPr>
        <w:ind w:left="1300" w:hanging="648"/>
        <w:spacing w:after="0" w:line="253"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(a term interpreted broadly to include anything of value, including, for example, gifts, discounts, and credits), directly or indirectly, in cash or in kind, to induce or reward, or in return for, either the referral of an individual for, or the purchase, order, or recommendation of, an item or service reimbursable under a federal healthcare program, such as the Medicare and Medicaid programs. A person or entity does not need to have actual knowledge of the federal Anti-Kickback Statute regulatory safe harbors or specific intent to violate it to have committed a violation. On December 2, 2020, the Office of Inspector General, or OIG, published further modifications to the federal Anti-Kickback Statute regulatory safe harbors. Under the final rules, OIG added safe harbor protections under the Anti-Kickback Statute for certain coordinated care and value-based arrangements among clinicians, providers, and others. This area of regulation remains a focus and is subject to change in the future. We continue to evaluate what effect, if any, changes to the federal Anti-Kickback Statute will have on our business;</w:t>
      </w:r>
    </w:p>
    <w:p>
      <w:pPr>
        <w:spacing w:after="0" w:line="167" w:lineRule="exact"/>
        <w:rPr>
          <w:rFonts w:ascii="Times New Roman" w:cs="Times New Roman" w:eastAsia="Times New Roman" w:hAnsi="Times New Roman"/>
          <w:sz w:val="18"/>
          <w:szCs w:val="18"/>
          <w:color w:val="auto"/>
        </w:rPr>
      </w:pPr>
    </w:p>
    <w:p>
      <w:pPr>
        <w:ind w:left="1300" w:hanging="648"/>
        <w:spacing w:after="0" w:line="254"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to Medicare, Medicaid, or other third-party payers that are false or fraudulent, or making a false statement or record material to payment of a false claim or avoiding, decreasing, or concealing an obligation to pay money owed to the federal government. In addition, the government may assert that a claim including items and services resulting from a violation of the federal Anti-Kickback Statute constitutes a false or fraudulent claim for purposes of the FCA. Manufacturers can be held liable under the federal False Claims Act even when they do not submit claims directly to government payers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147" w:lineRule="exact"/>
        <w:rPr>
          <w:rFonts w:ascii="Times New Roman" w:cs="Times New Roman" w:eastAsia="Times New Roman" w:hAnsi="Times New Roman"/>
          <w:sz w:val="18"/>
          <w:szCs w:val="18"/>
          <w:color w:val="auto"/>
        </w:rPr>
      </w:pPr>
    </w:p>
    <w:p>
      <w:pPr>
        <w:ind w:left="1300" w:right="20" w:hanging="648"/>
        <w:spacing w:after="0" w:line="258"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federal Health Insurance Portability and Accountability Act of 1996, or HIPAA, which created new federal criminal statutes, referred to as the “HIPAA All-payer Fraud Prohibition,” that prohibit knowingly and willfully executing a scheme to defraud any healthcare benefit program and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142" w:lineRule="exact"/>
        <w:rPr>
          <w:rFonts w:ascii="Times New Roman" w:cs="Times New Roman" w:eastAsia="Times New Roman" w:hAnsi="Times New Roman"/>
          <w:sz w:val="18"/>
          <w:szCs w:val="18"/>
          <w:color w:val="auto"/>
        </w:rPr>
      </w:pPr>
    </w:p>
    <w:p>
      <w:pPr>
        <w:ind w:left="1300" w:right="140" w:hanging="648"/>
        <w:spacing w:after="0" w:line="258"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transparency laws, including the federal Physician Payment Sunshine Act, which require manufacturers of certain drugs and biologics to track and disclose payments and other transfers of value they make to U.S. physicians (currently defined to include doctors, dentists, optometrists, podiatrists and chiropractors), other licensed health care practitioners and teaching hospitals as well as physician ownership and investment interests in the manufacturer, and that such information is subsequently made publicly available in a searchable format on a CMS website;</w:t>
      </w:r>
    </w:p>
    <w:p>
      <w:pPr>
        <w:spacing w:after="0" w:line="156" w:lineRule="exact"/>
        <w:rPr>
          <w:rFonts w:ascii="Times New Roman" w:cs="Times New Roman" w:eastAsia="Times New Roman" w:hAnsi="Times New Roman"/>
          <w:sz w:val="18"/>
          <w:szCs w:val="18"/>
          <w:color w:val="auto"/>
        </w:rPr>
      </w:pPr>
    </w:p>
    <w:p>
      <w:pPr>
        <w:ind w:left="1300" w:right="140" w:hanging="648"/>
        <w:spacing w:after="0" w:line="254"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HIPAA, as amended by the Health Information Technology for Economic and Clinical Health Act and its implementing regulations, which imposes certain requirements relating to the privacy, security and transmission of individually identifiable health information, and also includes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right="120"/>
        <w:spacing w:after="0" w:line="261" w:lineRule="auto"/>
        <w:rPr>
          <w:sz w:val="20"/>
          <w:szCs w:val="20"/>
          <w:color w:val="auto"/>
        </w:rPr>
      </w:pPr>
      <w:r>
        <w:rPr>
          <w:rFonts w:ascii="Times New Roman" w:cs="Times New Roman" w:eastAsia="Times New Roman" w:hAnsi="Times New Roman"/>
          <w:sz w:val="18"/>
          <w:szCs w:val="18"/>
          <w:color w:val="auto"/>
        </w:rPr>
        <w:t>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53" w:lineRule="exact"/>
        <w:rPr>
          <w:sz w:val="20"/>
          <w:szCs w:val="20"/>
          <w:color w:val="auto"/>
        </w:rPr>
      </w:pPr>
    </w:p>
    <w:p>
      <w:pPr>
        <w:ind w:left="1300" w:right="420" w:hanging="648"/>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which require us to calculate and report complex pricing metrics in an accurate and timely manner to government programs;</w:t>
      </w:r>
    </w:p>
    <w:p>
      <w:pPr>
        <w:spacing w:after="0" w:line="121" w:lineRule="exact"/>
        <w:rPr>
          <w:rFonts w:ascii="Times New Roman" w:cs="Times New Roman" w:eastAsia="Times New Roman" w:hAnsi="Times New Roman"/>
          <w:sz w:val="18"/>
          <w:szCs w:val="18"/>
          <w:color w:val="auto"/>
        </w:rPr>
      </w:pPr>
    </w:p>
    <w:p>
      <w:pPr>
        <w:ind w:left="1300" w:right="320" w:hanging="648"/>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121" w:lineRule="exact"/>
        <w:rPr>
          <w:rFonts w:ascii="Times New Roman" w:cs="Times New Roman" w:eastAsia="Times New Roman" w:hAnsi="Times New Roman"/>
          <w:sz w:val="18"/>
          <w:szCs w:val="18"/>
          <w:color w:val="auto"/>
        </w:rPr>
      </w:pPr>
    </w:p>
    <w:p>
      <w:pPr>
        <w:ind w:left="1300" w:hanging="648"/>
        <w:spacing w:after="0" w:line="254"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state law equivalents of each of the above federal laws, such as anti-kickback and false claims laws which may apply to items or services reimbursed by any third-party payer, including commercial insurers, state transparency reporting and compliance laws; and state laws governing the privacy and security of health information in certain circumstances, many of which differ from each other in significant ways and which may not have the same effect, thus complicating compliance efforts. These state-equivalent laws may also apply to our business practices, including, but not limited to, research, distribution, and sales or marketing arrangements.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w:t>
      </w:r>
    </w:p>
    <w:p>
      <w:pPr>
        <w:spacing w:after="0" w:line="16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If our drug candidates become commercialized, it is possible that governmental authorities will conclude that our business practices may not comply with current or future statutes, regulations, agency guidance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exclusion from government-funded healthcare programs, such as Medicare and Medicaid, integrity and oversight agreements to resolve allegations of non-compliance, contractual damages, reputational harm, diminished profits and future earnings, and the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 actions that may be brought against us, our business may be impaired.</w:t>
      </w:r>
    </w:p>
    <w:p>
      <w:pPr>
        <w:spacing w:after="0" w:line="148" w:lineRule="exact"/>
        <w:rPr>
          <w:sz w:val="20"/>
          <w:szCs w:val="20"/>
          <w:color w:val="auto"/>
        </w:rPr>
      </w:pPr>
    </w:p>
    <w:p>
      <w:pPr>
        <w:ind w:right="140" w:firstLine="644"/>
        <w:spacing w:after="0" w:line="266" w:lineRule="auto"/>
        <w:rPr>
          <w:sz w:val="20"/>
          <w:szCs w:val="20"/>
          <w:color w:val="auto"/>
        </w:rPr>
      </w:pPr>
      <w:r>
        <w:rPr>
          <w:rFonts w:ascii="Times New Roman" w:cs="Times New Roman" w:eastAsia="Times New Roman" w:hAnsi="Times New Roman"/>
          <w:sz w:val="18"/>
          <w:szCs w:val="18"/>
          <w:color w:val="auto"/>
        </w:rPr>
        <w:t>In each country or jurisdiction outside of the U.S. in which we seek and receive regulatory approval to commercialize our products, we will be subject to additional laws and regulations specific to those locations. These regulations and laws will also impact, among other things, our proposed sales and marketing programs in those jurisdictions.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Legislative and Regulatory Landscape</w:t>
      </w:r>
    </w:p>
    <w:p>
      <w:pPr>
        <w:spacing w:after="0" w:line="200"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introduced and passed in Congress that could significantly change the statutory provisions governing the testing, approval, manufacturing, marketing, coverage and reimbursement of products regulated by the FDA or other government agencies. In addition to new legislation, FDA and healthcare fraud and abuse and coverage and reimbursement regulations and policies are often revised or interpreted by the agency in ways that may significantly affect our business and our products. For example, in 2010, the United States Congress enacted the Affordable Care Act, which, among other things, included changes to the coverage and payment for drug products under government health care programs.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the provisions of the Affordable Care Act of importance to potential product candidates are:</w:t>
      </w:r>
    </w:p>
    <w:p>
      <w:pPr>
        <w:spacing w:after="0" w:line="185" w:lineRule="exact"/>
        <w:rPr>
          <w:sz w:val="20"/>
          <w:szCs w:val="20"/>
          <w:color w:val="auto"/>
        </w:rPr>
      </w:pPr>
    </w:p>
    <w:p>
      <w:pPr>
        <w:ind w:left="1300" w:right="560" w:hanging="648"/>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3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thereby potentially increasing a manufacturer’s Medicaid rebate liability;</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hanging="648"/>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pacing w:after="0" w:line="198" w:lineRule="exact"/>
        <w:rPr>
          <w:rFonts w:ascii="Times New Roman" w:cs="Times New Roman" w:eastAsia="Times New Roman" w:hAnsi="Times New Roman"/>
          <w:sz w:val="18"/>
          <w:szCs w:val="18"/>
          <w:color w:val="auto"/>
        </w:rPr>
      </w:pPr>
    </w:p>
    <w:p>
      <w:pPr>
        <w:ind w:left="1300" w:right="160" w:hanging="648"/>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135" w:lineRule="exact"/>
        <w:rPr>
          <w:rFonts w:ascii="Times New Roman" w:cs="Times New Roman" w:eastAsia="Times New Roman" w:hAnsi="Times New Roman"/>
          <w:sz w:val="18"/>
          <w:szCs w:val="18"/>
          <w:color w:val="auto"/>
        </w:rPr>
      </w:pPr>
    </w:p>
    <w:p>
      <w:pPr>
        <w:ind w:left="1300" w:right="40" w:hanging="648"/>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effectiveness research, along with funding for such research.</w:t>
      </w:r>
    </w:p>
    <w:p>
      <w:pPr>
        <w:spacing w:after="0" w:line="121"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The Budget Control Act of 2011, among other things, created measures for spending reductions by Congress. This includes aggregate reductions of Medicare payments to providers up to 2% per fiscal year. Subsequent legislation extended the 2% which remains in effect through 2031. The American Taxpayer Relief Act of 2012 further reduced Medicare payments to several types of providers, and increased the statute of limitations period for the government to recover overpayments to providers from three to five years. Due to the Statutory Pay-As-You-Go Act of 2010, estimated budget deficit increases resulting from the American Rescue Plan Act of 2021, and subsequent legislation, Medicare payments to providers were further reduced starting on January 1, 2025; however, legislation has been introduced in the U.S. Congress that would, if enacted, reverse these payment reductions. In addition to provider payment cuts under Medicare, the American Rescue Plan Act of 2021 also eliminated the statutory Medicaid drug rebate cap, previously set at 100% of a drug’s average manufacturer price, for single source and innovator multiple source drugs, effective January 1, 2024. These laws may result in additional reductions in Medicare and other healthcare funding available for healthcare providers and may otherwise affect the prices we may obtain for any of our product candidates for which we may obtain regulatory approval or the frequency with which any such product candidate is prescribed or used.</w:t>
      </w:r>
    </w:p>
    <w:p>
      <w:pPr>
        <w:spacing w:after="0" w:line="165" w:lineRule="exact"/>
        <w:rPr>
          <w:sz w:val="20"/>
          <w:szCs w:val="20"/>
          <w:color w:val="auto"/>
        </w:rPr>
      </w:pPr>
    </w:p>
    <w:p>
      <w:pPr>
        <w:ind w:right="60" w:firstLine="644"/>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Under the One Big Beautiful Bill Act of 2025, or OBBBA,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spacing w:after="0" w:line="151"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Furthermore, federal agencies, Congress, state legislatures, and the private sector have shown significant interest in implementing cost containment programs to limit the growth of health care costs, including price controls, restrictions on reimbursement and other fundamental changes to the healthcare delivery system.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Presidents from both political parties in the United States have increasingly relied upon the issuance of executive orders that directly affect prescription drug costs. As a number of these orders and other measures by the executive branch may require authorization through additional legislation to become effective, we will continue to evaluate what effect, if any, these orders and measures will have on our business.</w:t>
      </w:r>
    </w:p>
    <w:p>
      <w:pPr>
        <w:spacing w:after="0" w:line="15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120" w:lineRule="exact"/>
        <w:rPr>
          <w:sz w:val="20"/>
          <w:szCs w:val="20"/>
          <w:color w:val="auto"/>
        </w:rPr>
      </w:pPr>
    </w:p>
    <w:p>
      <w:pPr>
        <w:ind w:right="20" w:firstLine="644"/>
        <w:spacing w:after="0" w:line="221" w:lineRule="exact"/>
        <w:rPr>
          <w:sz w:val="20"/>
          <w:szCs w:val="20"/>
          <w:color w:val="auto"/>
        </w:rPr>
      </w:pPr>
      <w:r>
        <w:rPr>
          <w:rFonts w:ascii="Times New Roman" w:cs="Times New Roman" w:eastAsia="Times New Roman" w:hAnsi="Times New Roman"/>
          <w:sz w:val="18"/>
          <w:szCs w:val="18"/>
          <w:color w:val="auto"/>
        </w:rPr>
        <w:t>On December 19, 2025, Centers for Medicare and Medicaid Services (CMS) released two proposed rules that would incorporate most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favored nation, or MFN, pricing principles into federal reimbursement for prescription drugs. The first proposal, the Global Benchmark for Efficient Drug Pricing Model, or GLOBE, for Medicare Part B, would require manufacturers of specified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drugs and sole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biologics to pay incremental rebates based on international benchmark prices, with participation triggered for products meeting CMS’s spending and eligibility criteria. The second proposal, the Guarding U.S. Medicare Against Rising Drug Costs, or GUARD, model for Medicare Part D, would similarly mandate manufacturer rebates for qualifying sole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drugs where the Medicare net price exceeds an MFN benchmark derived from international reference pricing methodologies. As proposed, GLOBE would begin a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or GENEROUS, Model, a voluntary MFN framework for manufacturers participating in the Medicaid Drug Rebate Program. Although it is voluntary, the GENEROUS Model could also impact the drug pricing landscape for manufacturers.</w:t>
      </w:r>
    </w:p>
    <w:p>
      <w:pPr>
        <w:spacing w:after="0" w:line="164"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4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addition, at the state level, legislatures have increasingly passed legislation and implemented regulations similar to those under consideration at the federal level, as well as laws designed to control pharmaceutical and biotherapeutic product pricing, including restrictions on pricing or reimbursement at the state government level, limitations on discounts to patients, marketing cost disclosure and transparency measures, restrictions or other limitations on patient assistance, and, in some cases, policies to encourage importation from other countries (subject to federal approval) and bulk purchasing. Certain states are also pursuing cost containment efforts through Prescription Drug Affordability Boards, or PDABs, and similar entities. While many PDABs have been granted authority to promote drug price transparency and reporting, some states have granted PDABs more expansive authority, including to set Upper Payment Limits, or UPLs, on select, high price drugs. The adoption and implementation of UPLs may put downward pressure on drug prices and impact our company’s future revenues.</w:t>
      </w:r>
    </w:p>
    <w:p>
      <w:pPr>
        <w:spacing w:after="0" w:line="165"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These measures could reduce the ultimate demand for our products, once approved, or put pressure on our product pricing. Any proposed or actual changes could limit coverage for or the amounts that federal and state governments will pay for health care products and services, which could also result in reduced demand for our products or additional pricing pressures and affect our ultimate profitability.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Regulations</w:t>
      </w:r>
    </w:p>
    <w:p>
      <w:pPr>
        <w:spacing w:after="0" w:line="187"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187" w:lineRule="exact"/>
        <w:rPr>
          <w:sz w:val="20"/>
          <w:szCs w:val="20"/>
          <w:color w:val="auto"/>
        </w:rPr>
      </w:pPr>
    </w:p>
    <w:p>
      <w:pPr>
        <w:jc w:val="both"/>
        <w:ind w:right="140" w:firstLine="644"/>
        <w:spacing w:after="0" w:line="266" w:lineRule="auto"/>
        <w:rPr>
          <w:sz w:val="20"/>
          <w:szCs w:val="20"/>
          <w:color w:val="auto"/>
        </w:rPr>
      </w:pPr>
      <w:r>
        <w:rPr>
          <w:rFonts w:ascii="Times New Roman" w:cs="Times New Roman" w:eastAsia="Times New Roman" w:hAnsi="Times New Roman"/>
          <w:sz w:val="18"/>
          <w:szCs w:val="18"/>
          <w:color w:val="auto"/>
        </w:rPr>
        <w:t>In addition to regulations in the U.S., sales of our products outside the U.S. are subject to a variety of foreign regulations governing clinical trials and commercial sales and distribution of our product candidates to the extent we choose to develop or sell any product candidates outside of the U.S. The approval process varies from country to country and the</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time may be longer or shorter than that required to obtain FDA approval. The requirements governing the conduct of clinical trials, product licensing, pricing and reimbursement vary greatly from country to country.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02"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We own more than 150 U.S. and 650 foreign patents and a number of pending patent applications that cover various aspects of research and development efforts. We have filed patent applications, and plan to file additional patent applications, covering various aspects of our research and development efforts and our drug candidates. More specifically, our patents and patent applications cover polymer architecture, drug candidates, formulations, methods of making polymers and polymer conjugates, methods of administering our drug candidates, and methods of manufacturing polymers and polymer conjugates. Our patent strategy is to file patent applications on innovations and improvements to cover a significant majority of the major pharmaceutical markets in the world. Generally, patents have a term of twenty years from the earliest non-provisional patent application filing priority date (assuming all maintenance fees are paid). In some instances, patent terms can be increased or decreased, depending on the laws and regulations of the country or jurisdiction that issued the patent.</w:t>
      </w:r>
    </w:p>
    <w:p>
      <w:pPr>
        <w:spacing w:after="0" w:line="15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also rely on trade secret protection for our confidential and proprietary information. No assurance can be given that we can meaningfully protect our trade secrets. Others may independently develop substantially equivalent confidential and proprietary information or otherwise gain access to, or disclose, our trade secrets. Please refer to Item 1A. Risk Factors, including but not limited to “We rely on trade secret protection and other unpatented proprietary rights for important proprietary technologies, and any loss of such rights could harm our business, results of operations and financial condition.” In certain situations in which we work with drugs covered by one or more patents, our ability to develop and commercialize our technologies may be affected by limitations in our access to these proprietary drugs. Even if we believe we are free to work with a proprietary drug, we cannot guarantee that we will not be accused of, or determined to be, infringing a third party’s rights and be prohibited from working with the drug or found liable for damages. Any such restriction on access or liability for damages would have a material adverse effect on our business, results of operations and financial condition.</w:t>
      </w:r>
    </w:p>
    <w:p>
      <w:pPr>
        <w:spacing w:after="0" w:line="148"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 xml:space="preserve">The patent positions of pharmaceutical and biotechnology companies, such as ours, are uncertain and involve complex legal and factual issues. There can be no assurance that patents that have issued will be held valid and enforceable in a court of law. Even for patents that are held valid and enforceable, the legal process associated with obtaining such a judgment is time consuming and costly. Additionally, issued patents can be subject to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opposition, reexamination or other proceedings that can result in the revocation of the patent or maintenance of the patent but in an amended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 We may have to participate in post-grant proceedings before the U.S. Patent and Trademark Office, which could result in a loss of the patent and/or substantial cost to us. Please refer to Item 1A. Risk Factors, including without limitation, “If any of our pending patent applications do not issue, or are deemed invalid following issuance, we may lose valuable intellectual property protection.”</w:t>
      </w:r>
    </w:p>
    <w:p>
      <w:pPr>
        <w:spacing w:after="0" w:line="167"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U.S. and foreign patent rights and other proprietary rights exist that are owned by third parties and relate to pharmaceutical compositions and components of those compositions, as well as equipment and methods for preparation, packaging and delivery of pharmaceutical compositions. We cannot predict with any certainty which, if any, of these rights will be considered relevant to our drug candidates by authorities in the various jurisdictions where such rights exist, nor can we predict with certainty which, if any, of these rights will or may be asserted against us by third parties. We could incur substantial costs in defending ourselves and our partners against any such claims.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third parties. There can be no assurance that we can obtain a license to any technology that we determine we need on reasonable terms, if at all, or that we could develop or otherwise obtain alternative technology. The failure to obtain licenses if needed may have a material adverse effect on our business, results of operations and financial condition. Please refer to Item 1A. Risk Factors, including without limitation, “We may not be able to obtain intellectual property licenses related to the development of our drug candidates on a commercially reasonable basis, if at all.”</w:t>
      </w:r>
    </w:p>
    <w:p>
      <w:pPr>
        <w:spacing w:after="0" w:line="151"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It is our policy to require our employees and consultants, outside scientific collaborators, sponsored researchers and other advisors who receive confidential information from us to execute confidentiality agreements upon the commencement of employment or consulting relationships with us. These agreements provide that all confidential information developed or made known to the individual during the course of the individual’s relationship with us is to be kept confidential and not disclosed to third parties except in specific circumstances. The agreements provide that all inventions conceived by an employee that relate to our business shall be our property. There can be no assurance, however, that these agreements will provide meaningful protection or adequate remedies for our trade secrets in the event of unauthorized use or disclosure of such information.</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Concentrations</w:t>
      </w:r>
    </w:p>
    <w:p>
      <w:pPr>
        <w:spacing w:after="0" w:line="202"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Our revenue has been derived from our collaboration agreements with partners, under which we may receive a combination of revenue elements including up-front payments for licensing agreements, clinical research reimbursement or co-funding, milestone payments based on clinical progress, regulatory progress or net sales achievements, royalties and/or, before the sale of the Facility, product sales revenue. Our revenues are concentrated among a limited number of collaboration partners under long-term arrangements. Before the sale of the Facility, we derived the substantial majority of our PEGylation reagent product sales from UCB and Pfizer. Following the 2020 Purchase and Sale Agreement and sale of the Facility, substantially all of our revenues are non-cash royalty revenues.</w:t>
      </w:r>
    </w:p>
    <w:p>
      <w:pPr>
        <w:spacing w:after="0" w:line="147" w:lineRule="exact"/>
        <w:rPr>
          <w:sz w:val="20"/>
          <w:szCs w:val="20"/>
          <w:color w:val="auto"/>
        </w:rPr>
      </w:pPr>
    </w:p>
    <w:p>
      <w:pPr>
        <w:ind w:right="140" w:firstLine="644"/>
        <w:spacing w:after="0" w:line="266" w:lineRule="auto"/>
        <w:rPr>
          <w:sz w:val="20"/>
          <w:szCs w:val="20"/>
          <w:color w:val="auto"/>
        </w:rPr>
      </w:pPr>
      <w:r>
        <w:rPr>
          <w:rFonts w:ascii="Times New Roman" w:cs="Times New Roman" w:eastAsia="Times New Roman" w:hAnsi="Times New Roman"/>
          <w:sz w:val="18"/>
          <w:szCs w:val="18"/>
          <w:color w:val="auto"/>
        </w:rPr>
        <w:t>Following the termination of our collaboration agreement with Eli Lilly and Company, we do not have a collaboration agreement for rezpegaldesleukin. Therefore, we will not receive collaboration-based revenues for our lead drug candidates, rezpegaldesleukin, NKTR-255, NKTR-0165 and NKTR-0166, unless we enter into new collaboration agreements for these drug candidates.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Competition in the pharmaceutical and biotechnology industry is intense and characterized by aggressive research and development and rapidly-evolving science, technology, and standards of medical care throughout the world. We frequently compete with pharmaceutical companies and other institutions with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Competition</w:t>
      </w:r>
    </w:p>
    <w:p>
      <w:pPr>
        <w:spacing w:after="0" w:line="189"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We face intense science and technology competition from a multitude of technologies seeking to enhance the efficacy, safety and ease of use of approved drugs and new drug molecule candidates. A number of the drug candidates in our pipeline have direct and indirect competition from large pharmaceutical and biopharmaceutical companies. With our use of proven advanced polymer conjugate technologies, we believe we have competitive advantages relating to factors such as efficacy, safety, ease of use and cost for certain applications and molecules. We constantly monitor scientific and medical developments in order to improve our current technologies, seek licensing opportunities where appropriate, and determine the best applications for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Program Specific Competition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Rezpegaldesleukin</w:t>
      </w:r>
    </w:p>
    <w:p>
      <w:pPr>
        <w:spacing w:after="0" w:line="189"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microbiome-based, or toleragenic-based therapies (Regeneron, Leo Pharma, Eli Lilly and Company, Galderma, Symbiotix, LLC, Apogee Therapeutics, Janssen Pharmaceuticals, AstraZeneca and Tizona Therapeutics), regulatory T cell therapies (Sangamo Therapeutics, Inc., Quell Therapeutics, Ltd., Sonoma Biotherapeutics, Inc. GentiBio, Inc., Kyvema Therapeutics, Inc. and Tract Therapeutics, Inc.), or IL-2 based therapies (Sanofi SA (through its acquisition of Synthorx, Inc.)) or OX40/OX40L class (Sanofi SA).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NKTR-255</w:t>
      </w:r>
    </w:p>
    <w:p>
      <w:pPr>
        <w:spacing w:after="0" w:line="18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There are numerous companies engaged in developing immunotherapies with different approaches to enhancing NK cell populations which are a key component of the innate immune system. The approaches include engineered biologics targeting the IL-15 pathway as well as autologous and allogenic cell therapy approaches. For NKTR-255, we believe companies that are currently researching and developing engineered IL-15 biologics and cell therapies that could compete with this drug candidate include ImmunityBio, Inc., Nkarta, Inc., NKMax America, and Roche/Genentech (through its partnership with Xencor, Inc.).</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NKTR-0165 and NKTR-0166</w:t>
      </w:r>
    </w:p>
    <w:p>
      <w:pPr>
        <w:spacing w:after="0" w:line="202" w:lineRule="exact"/>
        <w:rPr>
          <w:sz w:val="20"/>
          <w:szCs w:val="20"/>
          <w:color w:val="auto"/>
        </w:rPr>
      </w:pPr>
    </w:p>
    <w:p>
      <w:pPr>
        <w:ind w:right="720" w:firstLine="644"/>
        <w:spacing w:after="0" w:line="282" w:lineRule="auto"/>
        <w:rPr>
          <w:sz w:val="20"/>
          <w:szCs w:val="20"/>
          <w:color w:val="auto"/>
        </w:rPr>
      </w:pPr>
      <w:r>
        <w:rPr>
          <w:rFonts w:ascii="Times New Roman" w:cs="Times New Roman" w:eastAsia="Times New Roman" w:hAnsi="Times New Roman"/>
          <w:sz w:val="18"/>
          <w:szCs w:val="18"/>
          <w:color w:val="auto"/>
        </w:rPr>
        <w:t>Several companies are developing selective TNFR2 agonists as potential therapies for patients with various autoimmune diseases. These companies often employ an antibody or fusion protein to target the TNFR2 pathway and include TRexBio, Inc. and Odyssey Therapeutics,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research and development expenditures can be disaggregated into the following significant types of expenses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Third party and direct materials costs</w:t>
            </w:r>
          </w:p>
        </w:tc>
        <w:tc>
          <w:tcPr>
            <w:tcW w:w="9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69,419</w:t>
            </w:r>
          </w:p>
        </w:tc>
        <w:tc>
          <w:tcPr>
            <w:tcW w:w="108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76,850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Personnel, overhead and other costs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42,204</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34,629</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117,330</w:t>
            </w:r>
          </w:p>
        </w:tc>
        <w:tc>
          <w:tcPr>
            <w:tcW w:w="140" w:type="dxa"/>
            <w:vAlign w:val="bottom"/>
          </w:tcPr>
          <w:p>
            <w:pPr>
              <w:spacing w:after="0"/>
              <w:rPr>
                <w:sz w:val="18"/>
                <w:szCs w:val="18"/>
                <w:color w:val="auto"/>
              </w:rPr>
            </w:pPr>
          </w:p>
        </w:tc>
        <w:tc>
          <w:tcPr>
            <w:tcW w:w="108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120,908</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02" w:lineRule="exact"/>
        <w:rPr>
          <w:sz w:val="20"/>
          <w:szCs w:val="20"/>
          <w:color w:val="auto"/>
        </w:rPr>
      </w:pPr>
    </w:p>
    <w:p>
      <w:pPr>
        <w:jc w:val="both"/>
        <w:ind w:right="80" w:firstLine="644"/>
        <w:spacing w:after="0" w:line="266" w:lineRule="auto"/>
        <w:rPr>
          <w:sz w:val="20"/>
          <w:szCs w:val="20"/>
          <w:color w:val="auto"/>
        </w:rPr>
      </w:pPr>
      <w:r>
        <w:rPr>
          <w:rFonts w:ascii="Times New Roman" w:cs="Times New Roman" w:eastAsia="Times New Roman" w:hAnsi="Times New Roman"/>
          <w:sz w:val="18"/>
          <w:szCs w:val="18"/>
          <w:color w:val="auto"/>
        </w:rPr>
        <w:t>The Facility we sold to Gannet BioChem manufactures PEG reagents for subsequent conjugation to active pharmaceutical ingredients (APIs). As a result of the sale of the Facility, we are dependent on Gannet BioChem for the supply of the PEG reagents used in the manufacture of rezpegaldesleukin and NKTR-255.</w:t>
      </w:r>
    </w:p>
    <w:p>
      <w:pPr>
        <w:spacing w:after="0" w:line="135"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As we do not have the capabilities to manufacture biologics or finished drug products for our development programs, we utilize contract manufacturers to manufacture all components of our drug candidates and our finished drug products, and we believe that they have sufficient capacity to meet our demands. We will utilize the services of contract manufacturers for all phases of clinical development and eventual commercialization. We typically order materials and services on a purchase order basis for early phase clinical development products and enter into long-term supply arrangements only for late-stage products nearing regulatory approval for marketing authorization. Our contract manufacturers have contractual obligations to comply with all applicable laws and regulations.</w:t>
      </w:r>
    </w:p>
    <w:p>
      <w:pPr>
        <w:spacing w:after="0" w:line="147"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We generally contract with a single contract manufacturer for the supply of our drug candidates and our finished drug products, and we are solely dependent on Gannet BioChem for the supply of PEG reagents. Accordingly, there is a risk that if such supply or services were interrupted, it could materially harm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w:t>
      </w:r>
    </w:p>
    <w:p>
      <w:pPr>
        <w:spacing w:after="0" w:line="189"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Before the sale of the Facility, as a manufacturer of PEG reagents for clinical drug candidates and commercial drug products, we were subject to inspections generally applicable to manufacturers of important components of pharmaceuticals, particularly inspections carried out by the FDA and the U.S. Environmental Protection Agency for compliance with cGMP and other U.S. regulatory requirements, including U.S. federal, state and local regulations regarding environmental protection and hazardous and controlled substance controls, among others. Following the sale of the Facility, we remain subject to inspections, including those brought by the FDA as we sponsor a number of INDs, and environmental regulators as we maintain office facilities in San Francisco, California. Environmental laws and regulations are complex, change frequently and have tended to become more stringent over time. We incurred significant expenditures to ensure we were in compliance with these laws and regulations. To our knowledge, we complied with all material governmental regulations applicable to our business. We would be subject to significant penalties for failure to comply with these laws and regulations.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02"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As of December 31, 2025, we had 63 employees, of which 39 employees were engaged in research and development activities. Substantially all of our employees are located in the U.S. We have a number of employees who hold advanced degrees, such as a Ph.D. None of our employees are covered by a collective bargaining agreement, and we have experienced no work stoppages. We are committed to attracting, developing, advancing and retaining a diverse and talented workforce. As part of our measures to attract and retain personnel, we offer a total rewards package to our full-time employees consisting of base salary, cash bonuses based on individual and company performance, equity compensation and comprehensive benefits, including health insurance, life insurance, retirement plans, and paid holiday and vacation time. We support our employees’ further development by providing professional development opportunities. We believe that we maintain good relations with our employees.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00" w:firstLine="644"/>
        <w:spacing w:after="0" w:line="282" w:lineRule="auto"/>
        <w:rPr>
          <w:sz w:val="20"/>
          <w:szCs w:val="20"/>
          <w:color w:val="auto"/>
        </w:rPr>
      </w:pPr>
      <w:r>
        <w:rPr>
          <w:rFonts w:ascii="Times New Roman" w:cs="Times New Roman" w:eastAsia="Times New Roman" w:hAnsi="Times New Roman"/>
          <w:sz w:val="18"/>
          <w:szCs w:val="18"/>
          <w:color w:val="auto"/>
        </w:rPr>
        <w:t>To complement our own expert professional staff, we utilize specialists in clinical development, regulatory affairs, pharmacovigilance, process engineering, manufacturing and quality assurance. These individuals include scientific advisors as well as independent consultants.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7"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http://www.nektar.com</w:t>
      </w:r>
      <w:r>
        <w:rPr>
          <w:rFonts w:ascii="Times New Roman" w:cs="Times New Roman" w:eastAsia="Times New Roman" w:hAnsi="Times New Roman"/>
          <w:sz w:val="18"/>
          <w:szCs w:val="18"/>
          <w:color w:val="auto"/>
        </w:rPr>
        <w:t xml:space="preserve">. The information in, or that can be accessed through, our website is not part of this annual report on Form 10-K. Our annual reports on Form 10-K, quarterly reports on Form 10-Q and current reports on Form 8-K and amendments to those reports are available, free of charge, on or through our website as soon as reasonably practicable after we electronically file such material with, or furnish it to, the Securities Exchange Commission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as of March 12,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00" w:type="dxa"/>
            <w:vAlign w:val="bottom"/>
          </w:tcPr>
          <w:p>
            <w:pPr>
              <w:spacing w:after="0"/>
              <w:rPr>
                <w:sz w:val="20"/>
                <w:szCs w:val="20"/>
                <w:color w:val="auto"/>
              </w:rPr>
            </w:pPr>
          </w:p>
        </w:tc>
        <w:tc>
          <w:tcPr>
            <w:tcW w:w="696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2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Howard W. Robin</w:t>
            </w:r>
          </w:p>
        </w:tc>
        <w:tc>
          <w:tcPr>
            <w:tcW w:w="120" w:type="dxa"/>
            <w:vAlign w:val="bottom"/>
          </w:tcPr>
          <w:p>
            <w:pPr>
              <w:spacing w:after="0"/>
              <w:rPr>
                <w:sz w:val="16"/>
                <w:szCs w:val="16"/>
                <w:color w:val="auto"/>
              </w:rPr>
            </w:pPr>
          </w:p>
        </w:tc>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tcPr>
          <w:p>
            <w:pPr>
              <w:spacing w:after="0"/>
              <w:rPr>
                <w:sz w:val="16"/>
                <w:szCs w:val="16"/>
                <w:color w:val="auto"/>
              </w:rPr>
            </w:pPr>
          </w:p>
        </w:tc>
        <w:tc>
          <w:tcPr>
            <w:tcW w:w="69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Sandra Gardiner</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8"/>
                <w:szCs w:val="18"/>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 (Principal Financial and Accounting Officer)</w:t>
            </w:r>
          </w:p>
        </w:tc>
      </w:tr>
      <w:tr>
        <w:trPr>
          <w:trHeight w:val="23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Zalevsky, Ph.D.</w:t>
            </w:r>
          </w:p>
        </w:tc>
        <w:tc>
          <w:tcPr>
            <w:tcW w:w="16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Research and Development Officer</w:t>
            </w:r>
          </w:p>
        </w:tc>
      </w:tr>
    </w:tbl>
    <w:p>
      <w:pPr>
        <w:spacing w:after="0" w:line="196"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Howard W. Robin </w:t>
      </w:r>
      <w:r>
        <w:rPr>
          <w:rFonts w:ascii="Times New Roman" w:cs="Times New Roman" w:eastAsia="Times New Roman" w:hAnsi="Times New Roman"/>
          <w:sz w:val="18"/>
          <w:szCs w:val="18"/>
          <w:color w:val="auto"/>
        </w:rPr>
        <w:t>has served as our President and Chief Executive Officer since January 2007 and has served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February 2007. Mr. Robin has more than 40 years of successful biopharmaceutical experience managing clinical development and commercial operations. Prior to joining Nektar, Mr. Robin served as President and Chief Executive Officer of Sirna Therapeutics, a clinical-stage biotechnology company pioneering RNAi-based therapies for serious diseases and conditions, including age-related macular degeneration (AMD), hepatitis C, respiratory syncytial virus (RSV) and Huntington's disease. During his tenure at Sirna from 2001 to 2006, Mr. Robin successfully re-launched the company and created significant shareholder value that led to its acquisition by Merck. Prior to joining Sirna, Mr. Robin was Senior Vice President and General Manager of the therapeutics division of Berlex Laboratories, the U.S. pharmaceutical subsidiary of the German pharmaceutical firm Schering AG, where he was responsible for the development of drugs, such as Betaseron(R) (Interferon beta-1b), the first therapy for multiple sclerosis, and Fludara(R) (fludarabine phosphate), the first therapy for chronic lymphocytic leukemia. These drugs generated annual global sales in excess of $1.5 billion. Prior to joining Berlex, Mr. Robin was a senior associate with Arthur Andersen &amp; Co. Mr. Robin received his B.S. in Accounting and Finance from Fairleigh Dickinson University, where he previously served as a member of its Board of Trustees.</w:t>
      </w:r>
    </w:p>
    <w:p>
      <w:pPr>
        <w:spacing w:after="0" w:line="151" w:lineRule="exact"/>
        <w:rPr>
          <w:sz w:val="20"/>
          <w:szCs w:val="20"/>
          <w:color w:val="auto"/>
        </w:rPr>
      </w:pPr>
    </w:p>
    <w:p>
      <w:pPr>
        <w:ind w:right="140" w:firstLine="64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Sandra Gardiner </w:t>
      </w:r>
      <w:r>
        <w:rPr>
          <w:rFonts w:ascii="Times New Roman" w:cs="Times New Roman" w:eastAsia="Times New Roman" w:hAnsi="Times New Roman"/>
          <w:sz w:val="18"/>
          <w:szCs w:val="18"/>
          <w:color w:val="auto"/>
        </w:rPr>
        <w:t>has served as our Interim Chief Financial Officer since April 2023. Ms. Gardiner is a partner at FLG Partners, a leading CFO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firm in the Silicon Valley and a skilled business and finance executive with over 30 years of experience as an EVP and CFO at private and public companies in the Life Sciences sector. Prior to joining Nektar, she served as the Chief Financial Officer, Executive Vice President of Finance and Administration, Secretary and Treasurer of Pulse Biosciences, Inc., a bioelectric medicine company, from November 2019 through December 2022. Prior to joining Pulse Biosciences, she held CFO roles in both domestic and global companies, operating as a director to international subsidiaries throughout Europe, Asia Pacific and Latin America. Ms. Gardiner holds a B.A. in Management Economics from the University of California, Davis.</w:t>
      </w:r>
    </w:p>
    <w:p>
      <w:pPr>
        <w:spacing w:after="0" w:line="14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Jonathan Zalevsky </w:t>
      </w:r>
      <w:r>
        <w:rPr>
          <w:rFonts w:ascii="Times New Roman" w:cs="Times New Roman" w:eastAsia="Times New Roman" w:hAnsi="Times New Roman"/>
          <w:sz w:val="18"/>
          <w:szCs w:val="18"/>
          <w:color w:val="auto"/>
        </w:rPr>
        <w:t>has served as our Senior Vice President and Chief Research &amp; Development Officer since October 2019. Dr. Zalevsky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our Senior Vice President, Biology and Preclinical Development from April 2017 through November 2017 and served as our Senior Vice President, Research and Chief Science Officer from November 2017 to October 2019. From July 2015 through April 2017, Dr. Zalevsky served as our Vice President, Biology and Preclinical Development. Prior to joining Nektar, Dr. Zalevsky was Global Vice President and Head of the Inflammation Drug Discovery Unit at Takeda Pharmaceuticals. Prior to working at Takeda, Dr. Zalevsky held a number of research and development positions at Xencor, Inc. Dr. Zalevsky received his Ph.D. in Biochemistry from the Tetrad Program at the University of California, San Francisco. He received dual bachelor degrees in Biochemistry and Molecular, Cellular and Developmental Biology from the University of Colorado at Boulder.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and historical results and our forward-looking statements. We note these factors for investors as permitted by Section 21E of the Exchange Act and Section 27A of the Securities Act. Investors in Nektar Therapeutics</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should carefully consider the risks described below before making an investment decision. You should understand that it is not possible to predict or identify all such factors. Consequently, you should not consider this section to be a complete discussion of all potential risks or uncertainties that may substantially impact our business. Moreover, we operate in a competitive and rapidly changing environment. New factors emerge from time to time and it is not possible to predict the impact of all of these factors on our business, financial condition or results of operations. The risks described below may not be the only ones relating to our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ind w:left="3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success of drug candidates, particularly rezpegaldesleukin (previously referred to as NKTR-358). If these drug candidates fail in clinical development our business will be significantly harmed.</w:t>
      </w:r>
    </w:p>
    <w:p>
      <w:pPr>
        <w:spacing w:after="0" w:line="118"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Our future success is highly dependent on the clinical success of our drug candidates, particularly rezpegaldesleukin. In general, most investigational drugs, including drug candidates designed to treat patients suffering from autoimmune disorders, such as rezpegaldesleukin, do not become approved drugs. Accordingly, there is a very meaningful risk that our drug candidates will not succeed in one or more clinical trials sufficient to support one or more regulatory approvals.</w:t>
      </w:r>
    </w:p>
    <w:p>
      <w:pPr>
        <w:spacing w:after="0" w:line="153"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previously relied on Lilly (through the Lilly Agreement) to initiate, properly conduct, and prioritize clinical trials and other development-related activities for rezpegaldesleukin. In February 2023, we announced that the Phase 2 Lupus Study of rezpegaldesleukin in systemic lupus erythematosus (SLE) conducted by Lilly did not meet the study’s primary endpoint and that Lilly did not intend to advance rezpegaldesleukin to Phase 3 development in SLE. On April 27, 2023, we announced that we would be regaining the full rights to rezpegaldesleukin from Lilly, and the Lilly Agreement subsequently terminated. Following the return of our rights to develop rezpegaldesleukin, we bear all costs of development. We have initiated two Phase 2b rezpegaldesleukin studies: one in patients with moderate-to-severe atopic dermatitis, and another in patients with severe-to-very severe alopecia areata, and will collaborate with TrialNet to conduct a Phase 2 study of rezpegaldesleukin in patients with new onset stage 3 Type 1 diabetes mellitus. We will also explore other autoimmune indications for the development of rezpegaldesleukin. While we believe we currently have the documents, records, and data that are necessary for us to continue clinical development of rezpegaldesleukin, we may need or benefit from additional documents, records and data that Lilly generated as part of the early development of rezpegaldesleukin under the Lilly Agreement and for which Lilly has not yet transferred to us. In the event Lilly fails to promptly and completely transfer to us any additional needed materials or we are not able to independently source these documents, records and data (e.g., from vendors or third parties who may also have these materials), the continued clinical development of rezpegaldesleukin and our business may be significantly harmed. Even if the applicable agreement provides us with enforcement or other curative rights to address the harm caused by Lilly’s action (or failure to act), our efforts in pursuing a remedy would be costly and there is no guarantee that these efforts would succeed or be sufficient to fully address the harm. If continued development of rezpegaldesleukin is not ultimately successful, our market valuation, prospects, financial condition and results of operations would be materially harmed.</w:t>
      </w:r>
    </w:p>
    <w:p>
      <w:pPr>
        <w:spacing w:after="0" w:line="154"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Additionally, promising results from earlier trials may not predict similarly favorable outcomes in subsequent trials. For example, our drug candidates (particularly those being evaluated in the oncology setting and in connection with the placebo crossover patients in the Phase 2b REZOLVE-AD study) have been tested in clinical trials or parts of clinical trials that utilize an “open-label” approach. An “open-label” approach occurs where both the patient and investigator know whether the patient is receiving the investigational drug candidate or either an existing approved drug or placebo. Most typically, open-label clinical trials test only the investigational drug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drug candidates for which we include an open-label clinical trial when studied in a controlled environment with a placebo or active control. Also, results from “double blinded” studies where both the patient and investigator do not know whether the patient is receiving the investigational drug candidate may not be predictive of future clinical trial results. One or more clinical failures of our drug candidates would jeopardize and could materially harm our business, results of operations and financial condition.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Delays in clinical studies are common and have many causes, and any significant delay in clinical studies being conducted by us or our partners could result in delay in regulatory approvals and jeopardize the ability to proceed to commercialization.</w:t>
      </w:r>
    </w:p>
    <w:p>
      <w:pPr>
        <w:spacing w:after="0" w:line="132" w:lineRule="exact"/>
        <w:rPr>
          <w:sz w:val="20"/>
          <w:szCs w:val="20"/>
          <w:color w:val="auto"/>
        </w:rPr>
      </w:pPr>
    </w:p>
    <w:p>
      <w:pPr>
        <w:ind w:right="120" w:firstLine="644"/>
        <w:spacing w:after="0" w:line="266" w:lineRule="auto"/>
        <w:rPr>
          <w:sz w:val="20"/>
          <w:szCs w:val="20"/>
          <w:color w:val="auto"/>
        </w:rPr>
      </w:pPr>
      <w:r>
        <w:rPr>
          <w:rFonts w:ascii="Times New Roman" w:cs="Times New Roman" w:eastAsia="Times New Roman" w:hAnsi="Times New Roman"/>
          <w:sz w:val="18"/>
          <w:szCs w:val="18"/>
          <w:color w:val="auto"/>
        </w:rPr>
        <w:t>We or our partners may experience delays in conducting clinical trials of our drug candidates. Clinical studies may not begin on time, enroll a sufficient number of patients or be completed on schedule, if at all. Clinical trials for any of our drug candidates could be delayed for a variety of reasons, including:</w:t>
      </w:r>
    </w:p>
    <w:p>
      <w:pPr>
        <w:spacing w:after="0" w:line="135" w:lineRule="exact"/>
        <w:rPr>
          <w:sz w:val="20"/>
          <w:szCs w:val="20"/>
          <w:color w:val="auto"/>
        </w:rPr>
      </w:pPr>
    </w:p>
    <w:p>
      <w:pPr>
        <w:ind w:left="1300" w:hanging="64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clinical study;</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applicable regulatory authorities on a clinical study design;</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drug candidates currently or previously partnered with other companies, delays caused by our partner;</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future health epidemics;</w:t>
      </w:r>
    </w:p>
    <w:p>
      <w:pPr>
        <w:spacing w:after="0" w:line="184" w:lineRule="exact"/>
        <w:rPr>
          <w:rFonts w:ascii="Times New Roman" w:cs="Times New Roman" w:eastAsia="Times New Roman" w:hAnsi="Times New Roman"/>
          <w:sz w:val="18"/>
          <w:szCs w:val="18"/>
          <w:color w:val="auto"/>
        </w:rPr>
      </w:pPr>
    </w:p>
    <w:p>
      <w:pPr>
        <w:ind w:left="1300" w:right="520" w:hanging="648"/>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the FDA or other health authorities, which may occur at any time including after any inspection of clinical trial operations or trial sites;</w:t>
      </w:r>
    </w:p>
    <w:p>
      <w:pPr>
        <w:spacing w:after="0" w:line="134" w:lineRule="exact"/>
        <w:rPr>
          <w:rFonts w:ascii="Times New Roman" w:cs="Times New Roman" w:eastAsia="Times New Roman" w:hAnsi="Times New Roman"/>
          <w:sz w:val="18"/>
          <w:szCs w:val="18"/>
          <w:color w:val="auto"/>
        </w:rPr>
      </w:pPr>
    </w:p>
    <w:p>
      <w:pPr>
        <w:ind w:left="1300" w:hanging="648"/>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a clinical study by us, our partners, the FDA or foreign regulatory authorities due to adverse side effects of a drug on subjects in the trial;</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a trial;</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dropping out of a trial due to the detriment of enrollment rates;</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and delivery of sufficient supply of clinical trial materials;</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authorities policies or guidance applicable to our drug candidates</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changing standards of care or new treatment options;</w:t>
      </w:r>
    </w:p>
    <w:p>
      <w:pPr>
        <w:spacing w:after="0" w:line="184" w:lineRule="exact"/>
        <w:rPr>
          <w:rFonts w:ascii="Times New Roman" w:cs="Times New Roman" w:eastAsia="Times New Roman" w:hAnsi="Times New Roman"/>
          <w:sz w:val="18"/>
          <w:szCs w:val="18"/>
          <w:color w:val="auto"/>
        </w:rPr>
      </w:pPr>
    </w:p>
    <w:p>
      <w:pPr>
        <w:ind w:left="1300" w:right="100" w:hanging="648"/>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associated with third parties, such as a past collaboration partner, failing to provide us with all the necessary documents, data and materials necessary to conduct clinical trials; and</w:t>
      </w:r>
    </w:p>
    <w:p>
      <w:pPr>
        <w:spacing w:after="0" w:line="121" w:lineRule="exact"/>
        <w:rPr>
          <w:rFonts w:ascii="Times New Roman" w:cs="Times New Roman" w:eastAsia="Times New Roman" w:hAnsi="Times New Roman"/>
          <w:sz w:val="18"/>
          <w:szCs w:val="18"/>
          <w:color w:val="auto"/>
        </w:rPr>
      </w:pPr>
    </w:p>
    <w:p>
      <w:pPr>
        <w:ind w:left="1300" w:right="200" w:hanging="648"/>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a shutdown, or uncertainty surrounding the potential for future shutdowns, of the U.S. government, including the FDA.</w:t>
      </w:r>
    </w:p>
    <w:p>
      <w:pPr>
        <w:spacing w:after="0" w:line="135" w:lineRule="exact"/>
        <w:rPr>
          <w:sz w:val="20"/>
          <w:szCs w:val="20"/>
          <w:color w:val="auto"/>
        </w:rPr>
      </w:pPr>
    </w:p>
    <w:p>
      <w:pPr>
        <w:ind w:firstLine="644"/>
        <w:spacing w:after="0" w:line="277" w:lineRule="auto"/>
        <w:rPr>
          <w:sz w:val="20"/>
          <w:szCs w:val="20"/>
          <w:color w:val="auto"/>
        </w:rPr>
      </w:pPr>
      <w:r>
        <w:rPr>
          <w:rFonts w:ascii="Times New Roman" w:cs="Times New Roman" w:eastAsia="Times New Roman" w:hAnsi="Times New Roman"/>
          <w:sz w:val="17"/>
          <w:szCs w:val="17"/>
          <w:color w:val="auto"/>
        </w:rPr>
        <w:t>If the initiation or completion of any of the planned clinical studies for our drug candidates is delayed for any of the above or other reasons, results for the studies would be delayed, and consequently the regulatory approval process would be delayed which would also delay the ability to commercialize these drug candidates, which could have a material adverse effect on our business, financial condition and results of operations. Clinical study delays could also shorten any commercial periods during which our products have patent protection and may allow our competitors to bring products to market before we do, which could impair our ability to successfully commercialize our drug candidates and may harm our business and results of operations.</w:t>
      </w:r>
    </w:p>
    <w:p>
      <w:pPr>
        <w:spacing w:after="0" w:line="123" w:lineRule="exact"/>
        <w:rPr>
          <w:sz w:val="20"/>
          <w:szCs w:val="20"/>
          <w:color w:val="auto"/>
        </w:rPr>
      </w:pPr>
    </w:p>
    <w:p>
      <w:pPr>
        <w:ind w:left="34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academic and private non-academic institutions to conduct investigator-sponsored clinical studies or trials of our drug candidates. Any failure by the investigator-sponsor to meet its obligations with respect to the clinical development of our drug candidates may delay or impair our ability to obtain regulatory approval or commercialize for other drug candidates.</w:t>
      </w:r>
    </w:p>
    <w:p>
      <w:pPr>
        <w:spacing w:after="0" w:line="134"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We currently rely on academic and private non-academic institutions to conduct and sponsor clinical studies or trials relating to our drug candidates. We do not control the design or conduct of the investigator-sponsored trials, and it is possible that the FDA or non-U.S. regulatory authorities will not view these investigator-sponsored studies or trials as providing adequate support for future clinical trials, whether controlled by us or independent investigators, for any one or more reasons, including elements of the design or execution of the trials or safety concerns or other trial results.</w:t>
      </w:r>
    </w:p>
    <w:p>
      <w:pPr>
        <w:spacing w:after="0" w:line="153"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Such arrangements will likely provide us certain information concerning our drug candidates with respect to the investigator-sponsored studies or trials, including access to and the ability to use and reference the data, including for our own regulatory filings, resulting from the investigator-sponsored studies or trials. However, we would not have control over</w:t>
      </w:r>
    </w:p>
    <w:p>
      <w:pPr>
        <w:sectPr>
          <w:pgSz w:w="11900" w:h="16838" w:orient="portrait"/>
          <w:cols w:equalWidth="0" w:num="1">
            <w:col w:w="11200"/>
          </w:cols>
          <w:pgMar w:left="320" w:top="117" w:right="379" w:bottom="1440" w:gutter="0" w:footer="0" w:header="0"/>
        </w:sect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timing and reporting of the data from investigator-sponsored trials, nor would we own the data from the investigator-sponsored studies or trials. If we are unable to confirm or replicate the results from the investigator-sponsored studies or trials or if negative results are obtained, we would likely be further delayed or prevented from advancing further clinical development of our drug candidates. Further, if investigators or institutions breach their obligations with respect to the clinical development of our drug candidates, or if the data proves to be inadequate compared to the first-hand knowledge we might have gained had the investigator-sponsored studies or trials been sponsored and conducted by us, then our ability to design and conduct any future clinical trials ourselves may be adversely affected.</w:t>
      </w:r>
    </w:p>
    <w:p>
      <w:pPr>
        <w:spacing w:after="0" w:line="160"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Additionally, the FDA or non-U.S. regulatory authorities may disagree with the sufficiency of our right of reference to the preclinical, manufacturing or clinical data generated by these investigator-sponsored studies or trials or our interpretation of preclinical, manufacturing or clinical data from these investigator-sponsored studies or trials. If so, the FDA or other non-U.S. regulatory authorities may require us to obtain and submit additional preclinical, manufacturing or clinical data before we may initiate our planned clinical trials and/or may not accept such additional data as adequate to initiate our planned clinical trials.</w:t>
      </w:r>
    </w:p>
    <w:p>
      <w:pPr>
        <w:spacing w:after="0" w:line="139" w:lineRule="exact"/>
        <w:rPr>
          <w:sz w:val="20"/>
          <w:szCs w:val="20"/>
          <w:color w:val="auto"/>
        </w:rPr>
      </w:pPr>
    </w:p>
    <w:p>
      <w:pPr>
        <w:ind w:lef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outcomes from the clinical trials of drug candidates from others, and the discovery and development of new potential therapies in immunology and oncology, could have a material and adverse impact on the value of the drug candidates in our research and development pipeline.</w:t>
      </w:r>
    </w:p>
    <w:p>
      <w:pPr>
        <w:spacing w:after="0" w:line="9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research and development of immune-modulatory agents is a very competitive global segment in the biopharmaceutical industry attracting tens of billions of dollars of investment each year. Our clinical trial plans for rezpegaldesleukin, NKTR-255 and other drug candidates face substantial competition from other regimens already approved, and many more that are either ahead of or in parallel development in patient populations where we are studying our drug candidates. As immunotherapy represents a relatively new approach to treatment of autoimmune disorders and cancer and few have successfully completed late stage development, drug development in this area entails substantial risks and uncertainties that include rapidly changing standards of care, identifying contribution of components when therapeutic combinations are employed, patient enrollment competition, evolving regulatory frameworks to evaluate regimens, and varying risk-benefit profiles of competing therapies, any or all of which could have a material and adverse impact on the probability of success of our drug candidates.</w:t>
      </w:r>
    </w:p>
    <w:p>
      <w:pPr>
        <w:spacing w:after="0" w:line="161" w:lineRule="exact"/>
        <w:rPr>
          <w:sz w:val="20"/>
          <w:szCs w:val="20"/>
          <w:color w:val="auto"/>
        </w:rPr>
      </w:pPr>
    </w:p>
    <w:p>
      <w:pPr>
        <w:ind w:left="34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risk of clinical failure for any drug candidate remains high prior to regulatory approval and there can be no assurance that our drug candidates will obtain regulatory approval for any particular indications.</w:t>
      </w:r>
    </w:p>
    <w:p>
      <w:pPr>
        <w:spacing w:after="0" w:line="118"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A number of companies have suffered significant unforeseen failures in clinical studies due to factors such as inconclusive efficacy or safety, even after achieving preclinical proof-of-concept or positive results from earlier clinical studies that were satisfactory both to them and to reviewing regulatory authorities. Clinical study outcomes remain very unpredictable and it is possible that one or more of our clinical studies could fail at any time due to efficacy, safety or other important clinical findings or regulatory requirements. The results from preclinical testing or early clinical trials of a drug candidate may not predict the results that will be obtained in later phase clinical trials of the drug candidate. We, the FDA, an independent Institutional Review Board (IRB), an independent ethics committee (IEC), or other applicable regulatory authorities may suspend clinical trials of a drug candidate at any time for various reasons, including a belief that patients participating in such trials are being exposed to unacceptable health risks or adverse side effects. Similarly, an IRB or IEC may suspend a clinical trial at a particular trial site. If one or more of our drug candidates fail in clinical studies, it could have a material adverse effect on our business, financial condition and results of operations.</w:t>
      </w:r>
    </w:p>
    <w:p>
      <w:pPr>
        <w:spacing w:after="0" w:line="144"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competition could render our partnered and proprietary drugs and drug candidates obsolete or noncompetitive, which would negatively impact our business, results of operations and financial condition.</w:t>
      </w:r>
    </w:p>
    <w:p>
      <w:pPr>
        <w:spacing w:after="0" w:line="15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Our partnered and proprietary products and drug candidates compete with various pharmaceutical and biotechnology companies. For rezpegaldesleukin, there are a number of competitors in various stages of clinical development that are working on programs which are designed to correct the underlying immune system imbalance in the body due to autoimmune disease. In particular, we expect to compete with therapies that could be cytokine-based, microbiome-based, or toleragenic-based therapies (Symbiotix, LLC, Apogee Therapeutics, Janssen, AstraZeneca and Tizona Therapeutics), regulatory T cell therapies (Sangamo Therapeutics, Inc., Quell Therapeutics, Ltd, TxCell, Inc., Sonoma Biotherapeutics, Inc., GentiBio, Inc. Kyvema Therapeutics, Inc. and Tract Therapeutics, Inc.), IL-2-based-therapies (Sanofi SA, through its acquisition of Synthorx, Inc.) or OX40/OX40L class (Sanofi SA). For NKTR-255, we believe companies that are currently researching and developing engineered IL-15 biologics and cell therapies that could compete with this drug candidate include ImmunityBio, Inc., Nkarta Therapeutics, NKMax America, and Roche/Genentech (through its partnership with Xencor, Inc.). For NKTR-0165, we believe companies targeting the TNFR2 pathway for the treatment of patients with autoimmune disease include TRexBio, Inc. and Odyssey Therapeutics, Inc. There can be no assurance that we or our partners will successfully develop, obtain regulatory approvals for and commercialize next-generation or new products that will successfully compete with those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of our competitors. Many of our competitors have greater financial, research and development, marketing and sales, manufacturing and managerial capabilities. We face competition from these companies not just in product development but also in areas such as recruiting employees, acquiring technologies that might enhance our ability to commercialize products, establishing relationships with certain research and academic institutions, enrolling patients in clinical trials and seeking program partnerships and collaborations with larger pharmaceutical companies. As a result, our competitors may succeed in developing competing technologies, obtaining regulatory approval or gaining market acceptance for products before we do. These developments could make our products or technologies noncompetitive or obsolete.</w:t>
      </w:r>
    </w:p>
    <w:p>
      <w:pPr>
        <w:spacing w:after="0" w:line="143" w:lineRule="exact"/>
        <w:rPr>
          <w:sz w:val="20"/>
          <w:szCs w:val="20"/>
          <w:color w:val="auto"/>
        </w:rPr>
      </w:pPr>
    </w:p>
    <w:p>
      <w:pPr>
        <w:ind w:left="34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and interim data from our clinical studies that we announce or publish from time to time are subject to audit and verification procedures that could result in material changes in the final data and may change as more patient data become available.</w:t>
      </w:r>
    </w:p>
    <w:p>
      <w:pPr>
        <w:spacing w:after="0" w:line="132"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From time to time, we publish preliminary or interim data from our clinical studies. Preliminary data remain subject to audit confirmation and verification procedures that may result in the final data being materially different from the preliminary data we previously published. Interim data are also subject to the risk that one or more of the clinical outcomes may materially change as patient enrollment continues and more patient data become available. As a result, preliminary and interim data should be viewed with caution until the final data are available. Material adverse changes in the final data could significantly harm our business prospects.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w:t>
      </w:r>
    </w:p>
    <w:p>
      <w:pPr>
        <w:spacing w:after="0" w:line="200" w:lineRule="exact"/>
        <w:rPr>
          <w:sz w:val="20"/>
          <w:szCs w:val="20"/>
          <w:color w:val="auto"/>
        </w:rPr>
      </w:pPr>
    </w:p>
    <w:p>
      <w:pPr>
        <w:spacing w:after="0" w:line="390" w:lineRule="exact"/>
        <w:rPr>
          <w:sz w:val="20"/>
          <w:szCs w:val="20"/>
          <w:color w:val="auto"/>
        </w:rPr>
      </w:pPr>
    </w:p>
    <w:p>
      <w:pPr>
        <w:ind w:left="34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depend significantly on the ability of our collaboration partners to successfully develop and market drugs and they may fail to do so.</w:t>
      </w:r>
    </w:p>
    <w:p>
      <w:pPr>
        <w:spacing w:after="0" w:line="118" w:lineRule="exact"/>
        <w:rPr>
          <w:sz w:val="20"/>
          <w:szCs w:val="20"/>
          <w:color w:val="auto"/>
        </w:rPr>
      </w:pPr>
    </w:p>
    <w:p>
      <w:pPr>
        <w:ind w:left="660" w:right="420" w:firstLine="644"/>
        <w:spacing w:after="0" w:line="282" w:lineRule="auto"/>
        <w:rPr>
          <w:sz w:val="20"/>
          <w:szCs w:val="20"/>
          <w:color w:val="auto"/>
        </w:rPr>
      </w:pPr>
      <w:r>
        <w:rPr>
          <w:rFonts w:ascii="Times New Roman" w:cs="Times New Roman" w:eastAsia="Times New Roman" w:hAnsi="Times New Roman"/>
          <w:sz w:val="18"/>
          <w:szCs w:val="18"/>
          <w:color w:val="auto"/>
        </w:rPr>
        <w:t>Under our collaboration agreements with various pharmaceutical or biotechnology companies, our collaboration partner is generally solely responsible for:</w:t>
      </w:r>
    </w:p>
    <w:p>
      <w:pPr>
        <w:spacing w:after="0" w:line="121" w:lineRule="exact"/>
        <w:rPr>
          <w:sz w:val="20"/>
          <w:szCs w:val="20"/>
          <w:color w:val="auto"/>
        </w:rPr>
      </w:pPr>
    </w:p>
    <w:p>
      <w:pPr>
        <w:ind w:left="1300" w:hanging="64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conducting large scale clinical studies;</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filing documents necessary to obtain government approvals to sell a given drug candidate; and/or</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the drugs when and if they are approved.</w:t>
      </w:r>
    </w:p>
    <w:p>
      <w:pPr>
        <w:spacing w:after="0" w:line="18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collaboration partners poses a number of significant risks to our business, including risks that:</w:t>
      </w:r>
    </w:p>
    <w:p>
      <w:pPr>
        <w:spacing w:after="0" w:line="198" w:lineRule="exact"/>
        <w:rPr>
          <w:rFonts w:ascii="Times New Roman" w:cs="Times New Roman" w:eastAsia="Times New Roman" w:hAnsi="Times New Roman"/>
          <w:sz w:val="18"/>
          <w:szCs w:val="18"/>
          <w:color w:val="auto"/>
        </w:rPr>
      </w:pPr>
    </w:p>
    <w:p>
      <w:pPr>
        <w:ind w:left="1300" w:hanging="648"/>
        <w:spacing w:after="0" w:line="258"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little control over the timing and level of resources that our collaboration partners dedicate to commercial marketing efforts such as the amount of investment in sales and marketing personnel, general marketing campaigns, direct-to-consumer advertising, product sampling, pricing agreements and rebate strategies with government and private payers, manufacturing and supply of drug product, and other marketing and selling activities that need to be undertaken and well executed for a drug to have the potential to achieve commercial success;</w:t>
      </w:r>
    </w:p>
    <w:p>
      <w:pPr>
        <w:spacing w:after="0" w:line="142" w:lineRule="exact"/>
        <w:rPr>
          <w:rFonts w:ascii="Times New Roman" w:cs="Times New Roman" w:eastAsia="Times New Roman" w:hAnsi="Times New Roman"/>
          <w:sz w:val="18"/>
          <w:szCs w:val="18"/>
          <w:color w:val="auto"/>
        </w:rPr>
      </w:pPr>
    </w:p>
    <w:p>
      <w:pPr>
        <w:ind w:left="1300" w:right="280" w:hanging="648"/>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when the applicable contract mandates otherwise, collaboration partners with commercial rights may choose to devote fewer resources to the development or marketing of our partnered drugs than they devote to their own drugs or other drugs that they have in-licensed;</w:t>
      </w:r>
    </w:p>
    <w:p>
      <w:pPr>
        <w:spacing w:after="0" w:line="135" w:lineRule="exact"/>
        <w:rPr>
          <w:rFonts w:ascii="Times New Roman" w:cs="Times New Roman" w:eastAsia="Times New Roman" w:hAnsi="Times New Roman"/>
          <w:sz w:val="18"/>
          <w:szCs w:val="18"/>
          <w:color w:val="auto"/>
        </w:rPr>
      </w:pPr>
    </w:p>
    <w:p>
      <w:pPr>
        <w:ind w:left="1300" w:right="220" w:hanging="648"/>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very little control over the timing and amount of resources our partners devote to development programs in one or more major markets;</w:t>
      </w:r>
    </w:p>
    <w:p>
      <w:pPr>
        <w:spacing w:after="0" w:line="134" w:lineRule="exact"/>
        <w:rPr>
          <w:rFonts w:ascii="Times New Roman" w:cs="Times New Roman" w:eastAsia="Times New Roman" w:hAnsi="Times New Roman"/>
          <w:sz w:val="18"/>
          <w:szCs w:val="18"/>
          <w:color w:val="auto"/>
        </w:rPr>
      </w:pPr>
    </w:p>
    <w:p>
      <w:pPr>
        <w:ind w:left="1300" w:right="20" w:hanging="648"/>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partners could lead to delays in, or termination of, the research, development or commercialization of drug candidates or to litigation or arbitration proceedings;</w:t>
      </w:r>
    </w:p>
    <w:p>
      <w:pPr>
        <w:spacing w:after="0" w:line="121" w:lineRule="exact"/>
        <w:rPr>
          <w:rFonts w:ascii="Times New Roman" w:cs="Times New Roman" w:eastAsia="Times New Roman" w:hAnsi="Times New Roman"/>
          <w:sz w:val="18"/>
          <w:szCs w:val="18"/>
          <w:color w:val="auto"/>
        </w:rPr>
      </w:pPr>
    </w:p>
    <w:p>
      <w:pPr>
        <w:ind w:left="1300" w:right="200" w:hanging="648"/>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or escalate in the future with respect to the ownership of rights to technology or intellectual property developed with partners;</w:t>
      </w:r>
    </w:p>
    <w:p>
      <w:pPr>
        <w:spacing w:after="0" w:line="121" w:lineRule="exact"/>
        <w:rPr>
          <w:rFonts w:ascii="Times New Roman" w:cs="Times New Roman" w:eastAsia="Times New Roman" w:hAnsi="Times New Roman"/>
          <w:sz w:val="18"/>
          <w:szCs w:val="18"/>
          <w:color w:val="auto"/>
        </w:rPr>
      </w:pPr>
    </w:p>
    <w:p>
      <w:pPr>
        <w:ind w:left="1300" w:right="100" w:hanging="648"/>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the ability to unilaterally terminate agreements (or partners may have extension or renewal rights) that we believe are not on commercially reasonable terms or consistent with our current business strategy;</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hanging="648"/>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be unable to pay us as expected;</w:t>
      </w:r>
    </w:p>
    <w:p>
      <w:pPr>
        <w:spacing w:after="0" w:line="198" w:lineRule="exact"/>
        <w:rPr>
          <w:rFonts w:ascii="Times New Roman" w:cs="Times New Roman" w:eastAsia="Times New Roman" w:hAnsi="Times New Roman"/>
          <w:sz w:val="18"/>
          <w:szCs w:val="18"/>
          <w:color w:val="auto"/>
        </w:rPr>
      </w:pPr>
    </w:p>
    <w:p>
      <w:pPr>
        <w:ind w:left="1300" w:right="260" w:hanging="648"/>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terminate their agreements with us unilaterally for any or no reason, in some cases with the payment of a termination fee penalty and in other cases with no termination fee penalty; and</w:t>
      </w:r>
    </w:p>
    <w:p>
      <w:pPr>
        <w:spacing w:after="0" w:line="121" w:lineRule="exact"/>
        <w:rPr>
          <w:rFonts w:ascii="Times New Roman" w:cs="Times New Roman" w:eastAsia="Times New Roman" w:hAnsi="Times New Roman"/>
          <w:sz w:val="18"/>
          <w:szCs w:val="18"/>
          <w:color w:val="auto"/>
        </w:rPr>
      </w:pPr>
    </w:p>
    <w:p>
      <w:pPr>
        <w:ind w:left="1300" w:right="140" w:hanging="648"/>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may respond to natural disasters or health epidemics by ceasing all or some of their development responsibilities (including the responsibility to clinical develop our drug candidates).</w:t>
      </w:r>
    </w:p>
    <w:p>
      <w:pPr>
        <w:spacing w:after="0" w:line="121"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Given these risks, the success of our current and future collaboration partnerships is highly unpredictable and can have a substantial negative impact on our business. If the approved drugs fail to achieve commercial success or the drug candidates in development fail to have positive late stage clinical outcomes sufficient to support regulatory approval in major markets, it could significantly impair our access to capital necessary to fund our research and development efforts. If we are unable to obtain sufficient capital resources to advance our drug candidate pipeline, it would negatively impact the value of our business, results of operations and financial condition.</w:t>
      </w:r>
    </w:p>
    <w:p>
      <w:pPr>
        <w:spacing w:after="0" w:line="152" w:lineRule="exact"/>
        <w:rPr>
          <w:sz w:val="20"/>
          <w:szCs w:val="20"/>
          <w:color w:val="auto"/>
        </w:rPr>
      </w:pPr>
    </w:p>
    <w:p>
      <w:pPr>
        <w:ind w:left="34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future capital requirements and there is a risk that we may not have access to sufficient capital to meet our current business plan. If we are unable to raise additional capital in one or more financing transactions, execute new high value collaborations or other arrangements, or do not receive substantial milestone or royalty payments from our existing collaboration agreements, we would be unable to continue our current level of investment in research and development.</w:t>
      </w:r>
    </w:p>
    <w:p>
      <w:pPr>
        <w:spacing w:after="0" w:line="140"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As of December 31, 2025, we had cash and investments in marketable securities valued at approximately $245.8 million. While we believe that our cash position will be sufficient to meet our liquidity requirements through at least the next 12 months, our future capital requirements will depend upon numerous unpredictable factors, including:</w:t>
      </w:r>
    </w:p>
    <w:p>
      <w:pPr>
        <w:spacing w:after="0" w:line="135" w:lineRule="exact"/>
        <w:rPr>
          <w:sz w:val="20"/>
          <w:szCs w:val="20"/>
          <w:color w:val="auto"/>
        </w:rPr>
      </w:pPr>
    </w:p>
    <w:p>
      <w:pPr>
        <w:ind w:left="1300" w:hanging="64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clinical studies and regulatory reviews of our drug candidates, particularly rezpegaldesleukin;</w:t>
      </w:r>
    </w:p>
    <w:p>
      <w:pPr>
        <w:spacing w:after="0" w:line="198" w:lineRule="exact"/>
        <w:rPr>
          <w:rFonts w:ascii="Times New Roman" w:cs="Times New Roman" w:eastAsia="Times New Roman" w:hAnsi="Times New Roman"/>
          <w:sz w:val="18"/>
          <w:szCs w:val="18"/>
          <w:color w:val="auto"/>
        </w:rPr>
      </w:pPr>
    </w:p>
    <w:p>
      <w:pPr>
        <w:ind w:left="1300" w:right="20" w:hanging="648"/>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we receive potential milestone payments and royalties from our existing collaborations if the drug candidates subject to those collaborations achieve clinical, regulatory or commercial success;</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 and results of our clinical development programs;</w:t>
      </w:r>
    </w:p>
    <w:p>
      <w:pPr>
        <w:spacing w:after="0" w:line="184" w:lineRule="exact"/>
        <w:rPr>
          <w:rFonts w:ascii="Times New Roman" w:cs="Times New Roman" w:eastAsia="Times New Roman" w:hAnsi="Times New Roman"/>
          <w:sz w:val="18"/>
          <w:szCs w:val="18"/>
          <w:color w:val="auto"/>
        </w:rPr>
      </w:pPr>
    </w:p>
    <w:p>
      <w:pPr>
        <w:ind w:left="1300" w:right="240" w:hanging="648"/>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progress, timing and costs of our efforts to implement new collaborations, licenses and other transactions that increase our current net cash, such as the sale of additional royalty interests held by us, term loan or other debt arrangements, and the issuance of securities;</w:t>
      </w:r>
    </w:p>
    <w:p>
      <w:pPr>
        <w:spacing w:after="0" w:line="148" w:lineRule="exact"/>
        <w:rPr>
          <w:rFonts w:ascii="Times New Roman" w:cs="Times New Roman" w:eastAsia="Times New Roman" w:hAnsi="Times New Roman"/>
          <w:sz w:val="18"/>
          <w:szCs w:val="18"/>
          <w:color w:val="auto"/>
        </w:rPr>
      </w:pPr>
    </w:p>
    <w:p>
      <w:pPr>
        <w:ind w:left="1300" w:right="740" w:hanging="648"/>
        <w:spacing w:after="0" w:line="282"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enrollment criteria, primary and secondary endpoints, and the number of clinical studies required by the regulatory authorities in order to consider for approval our drug candidates and those of our collaboration partners;</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and administrative expenses, capital expenditures and other uses of cash; and</w:t>
      </w:r>
    </w:p>
    <w:p>
      <w:pPr>
        <w:spacing w:after="0" w:line="184" w:lineRule="exact"/>
        <w:rPr>
          <w:rFonts w:ascii="Times New Roman" w:cs="Times New Roman" w:eastAsia="Times New Roman" w:hAnsi="Times New Roman"/>
          <w:sz w:val="18"/>
          <w:szCs w:val="18"/>
          <w:color w:val="auto"/>
        </w:rPr>
      </w:pPr>
    </w:p>
    <w:p>
      <w:pPr>
        <w:ind w:left="1300" w:right="440" w:hanging="648"/>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patents, proprietary rights, or license and collaboration agreements that could negatively impact our receipt of milestone payments or royalties or require us to make significant payments arising from licenses, settlements, adverse judgments or ongoing royalties.</w:t>
      </w:r>
    </w:p>
    <w:p>
      <w:pPr>
        <w:spacing w:after="0" w:line="149"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 significant multi-year capital commitment is required to advance our drug candidates through the various stages of research and development in order to generate sufficient data to enable high value collaboration partnerships with significant upfront payments or to successfully achieve regulatory approval. In the event we do not enter into any new collaboration partnerships with significant upfront payments and we choose to continue to advance our drug candidates to later stage research and development, we may need to pursue financing alternatives, including dilutive equity-based financings, such as an offering of convertible debt or common stock, which would dilute the percentage ownership of our current common stockholders and could significantly lower the market value of our common stock. If sufficient capital is not available to us or is not available on commercially reasonable terms, it could require us to delay or reduce one or more of our research and development programs. If we are unable to sufficiently advance our research and development programs, it could substantially impair the value of such programs and result in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3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It is very difficult to estimate the commercial potential of drug candidates due to important factors such as safety and efficacy compared to other available treatments, including changing standards of care, third party payer reimbursement standards, patient and physician preferences, the availability of competitive alternatives that may emerge either during the long drug development process or after commercial introduction, and the availability of generic and biosimilar versions of our drug candidates following approval by regulatory authorities based on the expiration of regulatory exclusivity or our inability to prevent generic or biosimilar versions from coming to market by asserting our patents. If due to one or more of these risks the market potential for a drug candidate is lower than we anticipated, it could significantly and negatively impact the commercial potential of the drug candidate, the commercial terms of any collaboration partnership potential for such drug candidate, or if we have already entered into a collaboration for such drug candidate, the revenue potential from royalty and milestone payments could be significantly diminished and this would negatively impact our business, financial condition and results of operations. We may also depend on our relationships with other companies for sales and marketing performance and the commercialization of drug candidates. Poor performance by these companies, or disputes with these companies, could negatively impact our revenue and financial condition.</w:t>
      </w:r>
    </w:p>
    <w:p>
      <w:pPr>
        <w:spacing w:after="0" w:line="150"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government and private insurance programs do not provide payment or reimbursement for our partnered drug or proprietary drugs, those drugs will not be widely accepted, which would have a negative impact on our business, results of operations and financial condition.</w:t>
      </w:r>
    </w:p>
    <w:p>
      <w:pPr>
        <w:spacing w:after="0" w:line="118" w:lineRule="exact"/>
        <w:rPr>
          <w:sz w:val="20"/>
          <w:szCs w:val="20"/>
          <w:color w:val="auto"/>
        </w:rPr>
      </w:pPr>
    </w:p>
    <w:p>
      <w:pPr>
        <w:ind w:right="140" w:firstLine="644"/>
        <w:spacing w:after="0" w:line="254"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payers to reimburse all or part of the costs associated with their treatment. In both domestic and foreign markets, sales of our partnered and proprietary products that receive regulatory approval will depend in part on market acceptance among physicians and patients, pricing approvals by government authorities and the availability of coverage and payment or reimbursement from third-party payers, such as government programs, including Medicare and Medicaid in the U.S., managed care providers, private health insurers and other organizations. However, eligibility for coverage does not necessarily signify that a drug candidate will be adequately reimbursed in all cases or at a rate that covers costs related to research, development, manufacture, sale, and distribution. Third-party payers are increasingly challenging the price and cost effectiveness of medical products and services. Therefore, significant uncertainty exists as to the coverage and pricing approvals for, and the payment or reimbursement status of, newly approved healthcare products. For more information, see “Business – Government Regulation – Coverage, Reimbursement, and Pricing” section.</w:t>
      </w:r>
    </w:p>
    <w:p>
      <w:pPr>
        <w:spacing w:after="0" w:line="16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payers tend to follow CMS to a substantial degree.</w:t>
      </w:r>
    </w:p>
    <w:p>
      <w:pPr>
        <w:spacing w:after="0" w:line="143"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Factors payers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spacing w:after="0" w:line="121" w:lineRule="exact"/>
        <w:rPr>
          <w:sz w:val="20"/>
          <w:szCs w:val="20"/>
          <w:color w:val="auto"/>
        </w:rPr>
      </w:pPr>
    </w:p>
    <w:p>
      <w:pPr>
        <w:ind w:right="20" w:firstLine="644"/>
        <w:spacing w:after="0" w:line="282" w:lineRule="auto"/>
        <w:rPr>
          <w:sz w:val="20"/>
          <w:szCs w:val="20"/>
          <w:color w:val="auto"/>
        </w:rPr>
      </w:pPr>
      <w:r>
        <w:rPr>
          <w:rFonts w:ascii="Times New Roman" w:cs="Times New Roman" w:eastAsia="Times New Roman" w:hAnsi="Times New Roman"/>
          <w:sz w:val="18"/>
          <w:szCs w:val="18"/>
          <w:color w:val="auto"/>
        </w:rPr>
        <w:t>In addition, net prices for drugs may be reduced by mandatory discounts or rebates required by government healthcare programs or private payers and by any future relaxation of laws that presently restrict imports of drugs from countries where they may be sold at lower prices than in the United States.</w:t>
      </w:r>
    </w:p>
    <w:p>
      <w:pPr>
        <w:spacing w:after="0" w:line="135"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Increasingly, third-party payers are requiring that drug companies provide them with predetermined discounts from list prices and are challenging the prices charged for medical products. We cannot be sure that reimbursement will be available for any of our drug candidates that are commercialized and, if reimbursement is available, the level of reimbursement.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40" w:firstLine="644"/>
        <w:spacing w:after="0" w:line="266" w:lineRule="auto"/>
        <w:rPr>
          <w:sz w:val="20"/>
          <w:szCs w:val="20"/>
          <w:color w:val="auto"/>
        </w:rPr>
      </w:pPr>
      <w:r>
        <w:rPr>
          <w:rFonts w:ascii="Times New Roman" w:cs="Times New Roman" w:eastAsia="Times New Roman" w:hAnsi="Times New Roman"/>
          <w:sz w:val="18"/>
          <w:szCs w:val="18"/>
          <w:color w:val="auto"/>
        </w:rPr>
        <w:t>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w:t>
      </w:r>
    </w:p>
    <w:p>
      <w:pPr>
        <w:spacing w:after="0" w:line="149"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Moreover, legislation and regulations affecting the pricing of pharmaceuticals may change before regulatory agencies approve our proposed products for marketing and could further limit coverage or pricing approvals for, and reimbursement of, our products from government authorities and third-party payers.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products hold the potential to severely limit market opportunities of such products.</w:t>
      </w:r>
    </w:p>
    <w:p>
      <w:pPr>
        <w:spacing w:after="0" w:line="151"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drug candidates. Historically, products launched in the European Union do not follow price structures of the U.S. and generally prices tend to be significantly lower.</w:t>
      </w:r>
    </w:p>
    <w:p>
      <w:pPr>
        <w:spacing w:after="0" w:line="144" w:lineRule="exact"/>
        <w:rPr>
          <w:sz w:val="20"/>
          <w:szCs w:val="20"/>
          <w:color w:val="auto"/>
        </w:rPr>
      </w:pPr>
    </w:p>
    <w:p>
      <w:pPr>
        <w:ind w:left="34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collaboration partnerships on attractive commercial terms, our business, results of operations and financial condition could suffer.</w:t>
      </w:r>
    </w:p>
    <w:p>
      <w:pPr>
        <w:spacing w:after="0" w:line="132"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We intend to continue to seek partnerships with pharmaceutical and biotechnology partners to fund a portion of our research and development capital requirements. The timing of new collaboration partnerships is difficult to predict due to availability of clinical data, the outcomes from our clinical studies, the number of potential partners that need to complete due diligence and approval processes, the definitive agreement negotiation process and numerous other unpredictable factors that can delay, impede or prevent significant transactions. If we are unable to find suitable partners or negotiate collaboration arrangements with favorable commercial terms with respect to our existing and future drug candidates or the licensing of our intellectual property, or if any arrangements we negotiate, or have negotiated, are terminated, it could have a material adverse effect on our business, financial condition and results of operations.</w:t>
      </w:r>
    </w:p>
    <w:p>
      <w:pPr>
        <w:spacing w:after="0" w:line="144" w:lineRule="exact"/>
        <w:rPr>
          <w:sz w:val="20"/>
          <w:szCs w:val="20"/>
          <w:color w:val="auto"/>
        </w:rPr>
      </w:pPr>
    </w:p>
    <w:p>
      <w:pPr>
        <w:ind w:left="34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has historically been exclusively derived from our collaboration agreements, which can result in significant fluctuation in our revenue from period to period, and our past revenue is therefore not necessarily indicative of our future revenue.</w:t>
      </w:r>
    </w:p>
    <w:p>
      <w:pPr>
        <w:spacing w:after="0" w:line="118"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Our revenue has historically been exclusively derived from our collaboration agreements (whether based on our drug candidates or polymeric reagents), from which we receive upfront fees, research and development reimbursement and funding, milestone and other contingent payments based on clinical progress, regulatory progress or net sales achievements, royalties and product sales. Significant variations in the timing of receipt of cash payments and our recognition of revenue can result from payments based on the execution of new collaboration agreements, the timing of clinical outcomes, regulatory approval, commercial launch or the achievement of certain annual sales thresholds. The amount of our revenue derived from collaboration agreements in any given period will depend on a number of unpredictable factors, including whether and when we or our collaboration partners achieve clinical, regulatory and sales milestones, the timing of regulatory approvals in one or more major markets, reimbursement levels by private and government payers, and the market introduction of new drugs or generic versions of the approved drug, as well as other factors. Our past revenue generated from collaboration agreements is not necessarily indicative of our future revenue. If any of our existing or future collaboration partners fails to develop, obtain regulatory approval for, manufacture or ultimately commercialize any drug candidate under our collaboration agreement, our business, financial condition, and results of operations could be materially and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expect to continue to incur substantial losses and negative cash flow from operations and may not achieve or sustain profitability in the future.</w:t>
      </w:r>
    </w:p>
    <w:p>
      <w:pPr>
        <w:spacing w:after="0" w:line="202" w:lineRule="exact"/>
        <w:rPr>
          <w:sz w:val="20"/>
          <w:szCs w:val="20"/>
          <w:color w:val="auto"/>
        </w:rPr>
      </w:pPr>
    </w:p>
    <w:p>
      <w:pPr>
        <w:ind w:right="180" w:firstLine="64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we reported a net loss of $164.1 million. If and when we achieve profitability depends upon a number of factors, including the timing and recognition of milestones and other contingent payments and royalties received, the timing of revenue under our collaboration agreements, the amount of investments we make in our proprietary drug candidates and the regulatory approval and market success of our drug candidates. We may not be able to achieve and sustain profitability.</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Other factors that will affect whether we achieve and sustain profitability include our ability, alone or together with our partners, to:</w:t>
      </w:r>
    </w:p>
    <w:p>
      <w:pPr>
        <w:spacing w:after="0" w:line="185" w:lineRule="exact"/>
        <w:rPr>
          <w:sz w:val="20"/>
          <w:szCs w:val="20"/>
          <w:color w:val="auto"/>
        </w:rPr>
      </w:pPr>
    </w:p>
    <w:p>
      <w:pPr>
        <w:ind w:left="1300" w:hanging="648"/>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drugs utilizing our technologies, either independently or in collaboration with other pharmaceutical or biotechnology companies;</w:t>
      </w:r>
    </w:p>
    <w:p>
      <w:pPr>
        <w:spacing w:after="0" w:line="198" w:lineRule="exact"/>
        <w:rPr>
          <w:rFonts w:ascii="Times New Roman" w:cs="Times New Roman" w:eastAsia="Times New Roman" w:hAnsi="Times New Roman"/>
          <w:sz w:val="18"/>
          <w:szCs w:val="18"/>
          <w:color w:val="auto"/>
        </w:rPr>
      </w:pPr>
    </w:p>
    <w:p>
      <w:pPr>
        <w:ind w:left="1300" w:right="80" w:hanging="648"/>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estimate and manage clinical development costs, particularly the cost of the clinical studies for rezpegaldesleukin and NKTR-255;</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necessary regulatory and marketing approvals;</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expand manufacturing at necessary levels;</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partnered products;</w:t>
      </w:r>
    </w:p>
    <w:p>
      <w:pPr>
        <w:spacing w:after="0" w:line="184" w:lineRule="exact"/>
        <w:rPr>
          <w:rFonts w:ascii="Times New Roman" w:cs="Times New Roman" w:eastAsia="Times New Roman" w:hAnsi="Times New Roman"/>
          <w:sz w:val="18"/>
          <w:szCs w:val="18"/>
          <w:color w:val="auto"/>
        </w:rPr>
      </w:pPr>
    </w:p>
    <w:p>
      <w:pPr>
        <w:ind w:left="1300" w:right="700" w:hanging="648"/>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revenue or royalties on products that have been approved, marketed or submitted for marketing approval with regulatory authorities; and</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sufficient funds to finance our activities.</w:t>
      </w:r>
    </w:p>
    <w:p>
      <w:pPr>
        <w:spacing w:after="0" w:line="194" w:lineRule="exact"/>
        <w:rPr>
          <w:sz w:val="20"/>
          <w:szCs w:val="20"/>
          <w:color w:val="auto"/>
        </w:rPr>
      </w:pPr>
    </w:p>
    <w:p>
      <w:pPr>
        <w:ind w:left="340"/>
        <w:spacing w:after="0"/>
        <w:tabs>
          <w:tab w:leader="none" w:pos="8600" w:val="left"/>
        </w:tabs>
        <w:rPr>
          <w:sz w:val="20"/>
          <w:szCs w:val="20"/>
          <w:color w:val="auto"/>
        </w:rPr>
      </w:pPr>
      <w:r>
        <w:rPr>
          <w:rFonts w:ascii="Times New Roman" w:cs="Times New Roman" w:eastAsia="Times New Roman" w:hAnsi="Times New Roman"/>
          <w:sz w:val="18"/>
          <w:szCs w:val="18"/>
          <w:b w:val="1"/>
          <w:bCs w:val="1"/>
          <w:i w:val="1"/>
          <w:iCs w:val="1"/>
          <w:color w:val="auto"/>
        </w:rPr>
        <w:t>Additional cost-savings measures may be necessary following implementation of our strategic reorganization</w:t>
      </w:r>
      <w:r>
        <w:rPr>
          <w:sz w:val="20"/>
          <w:szCs w:val="20"/>
          <w:color w:val="auto"/>
        </w:rPr>
        <w:tab/>
      </w:r>
      <w:r>
        <w:rPr>
          <w:rFonts w:ascii="Times New Roman" w:cs="Times New Roman" w:eastAsia="Times New Roman" w:hAnsi="Times New Roman"/>
          <w:sz w:val="17"/>
          <w:szCs w:val="17"/>
          <w:b w:val="1"/>
          <w:bCs w:val="1"/>
          <w:i w:val="1"/>
          <w:iCs w:val="1"/>
          <w:color w:val="auto"/>
        </w:rPr>
        <w:t>plan and cost restructuring plans.</w:t>
      </w:r>
    </w:p>
    <w:p>
      <w:pPr>
        <w:spacing w:after="0" w:line="189"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Our 2022 and 2023 Restructuring Plans prioritized key research and development efforts that will impact the Company’s future business activities, including activities involving rezpegaldesleukin, NKTR-255, NKTR-0165, NKTR-0166 and several core research programs. There is no guarantee that these Restructuring Plans and their associated cost restructuring measures will achieve their intended benefits or that our post-restructuring focus will be sufficient for us to achieve success. Consequently, we may need to undertake additional restructuring and cost-saving activities to further prioritize our key research and development efforts and these additional restructuring and cost-saving activities may not be successful, which could have a material adverse effect on our business, financial condition and prospects.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Supply and Manufacturing</w:t>
      </w:r>
    </w:p>
    <w:p>
      <w:pPr>
        <w:spacing w:after="0" w:line="198" w:lineRule="exact"/>
        <w:rPr>
          <w:sz w:val="20"/>
          <w:szCs w:val="20"/>
          <w:color w:val="auto"/>
        </w:rPr>
      </w:pPr>
    </w:p>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contract manufacturers are not able to manufacture biologic substance or substances in sufficient quantities that meet applicable quality standards, it could delay clinical studies or constitute a breach of our contractual obligations, any of which could significantly harm our business, financial condition and results of operations.</w:t>
      </w:r>
    </w:p>
    <w:p>
      <w:pPr>
        <w:spacing w:after="0" w:line="134"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If our contract manufacturing organizations (CMOs) are not able to manufacture and supply sufficient drug quantities meeting applicable quality standards required to support large clinical studies or commercial manufacturing in a timely manner, it could delay our or our collaboration partners’ clinical studies or result in a breach of our contractual obligations. As a result, we could incur substantial costs and any royalty revenue that we would otherwise be entitled to receive could be reduced, delayed or eliminated. In most cases, we rely on CMOs to manufacture and supply drug product for our clinical studies and those of our collaboration partners. As a result of the sale of the Facility, we are currently dependent on Gannet BioChem for the supply of the PEG reagents used in the manufacture of our PEG-conjugate drug candidates, including rezpegaldesleukin and NKTR-255. The manufacturing of biologics involves significant risks and uncertainties related to the demonstration of adequate stability, sufficient purification of the drug substance and drug product, the identification and elimination of impurities, optimal formulations, process and analytical methods validations, and challenges in controlling for all of these variables. We have faced and may in the future face significant difficulties, delays and unexpected expenses as we validate third party CMOs required for drug supply to support our clinical studies and the clinical studies and products of our collaboration partners. Failure by us or our CMOs to supply API or drug products in sufficient quantities that meet all applicable quality requirements could result in supply shortages for our clinical studies or the clinical studies and commercial activities of our collaboration partners. Such failures could significantly and materially delay clinical trials and regulatory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submissions or result in reduced sales, any of which could significantly harm our business prospects, results of operations and financial condition.</w:t>
      </w:r>
    </w:p>
    <w:p>
      <w:pPr>
        <w:spacing w:after="0" w:line="198"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If any CMO with whom we contract fails to perform its obligations, we may be forced to enter into an agreement with a different CMO, which we may not be able to do on reasonable terms, if at all, and our clinical trials or commercial distribution could be delayed significantly as we establish alternative supply sources. In some cases, the technical skills required to manufacture our products or drug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or if our CMOs change manufacturing facility sites,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FDA or another regulatory authority. The delays associated with the verification of a new CMO or a facility and additional costs, including potential tariffs associated with international sites, could negatively affect our ability to develop drug candidates or commercialize our products in a timely manner or within budget. Furthermore, a CMO may possess technology related to the manufacture of our drug candidate that such CMO owns independently. This would increase our reliance on such a CMO or require us to obtain a license from such CMO in order to have another CMO manufacture our products or drug candidates. In addition, in the case of the CMOs that supply our drug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55"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Building and validating large scale clinical or commercial-scale manufacturing facilities and processes, recruiting and training qualified personnel and obtaining necessary regulatory approvals is complex, expensive and time consuming. In the past, we have encountered challenges in scaling up manufacturing to meet the requirements of large scale clinical trials without making modifications to the drug formulation or drug delivery method, which may cause significant delays in clinical development or increased costs. There continues to be substantial and unpredictable risk and uncertainty related to manufacturing and supply until such time as the commercial supply chain is validated and proven.</w:t>
      </w:r>
    </w:p>
    <w:p>
      <w:pPr>
        <w:spacing w:after="0" w:line="139" w:lineRule="exact"/>
        <w:rPr>
          <w:sz w:val="20"/>
          <w:szCs w:val="20"/>
          <w:color w:val="auto"/>
        </w:rPr>
      </w:pPr>
    </w:p>
    <w:p>
      <w:pPr>
        <w:ind w:left="34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CMOs purchase some of the starting material for biologics and biologic candidates from a single source or a limited number of suppliers and we are dependent on Gannet BioChem for the suppy of the PEG reagents, and the partial or complete loss of one of these suppliers could cause production delays and clinical trial delays.</w:t>
      </w:r>
    </w:p>
    <w:p>
      <w:pPr>
        <w:spacing w:after="0" w:line="148"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often face very limited supply of a critical raw material that can only be obtained from a single, or a limited number of, suppliers, which could cause production delays or clinical trial delays. For example, there are only a limited number of qualified suppliers, and in some cases single source suppliers, for the raw materials included in our PEGylation and advanced polymer conjugate drug formulations. As a result of the sale of the Facility, we are also dependent on Gannet BioChem for PEG reagents used in the manufacture of rezpegaldesleukin and NKTR-255. Any interruption in supply, diminution in quality of raw materials supplied to our CMOS or failure to procure such raw materials on commercially feasible terms or in the supply of PEG reagents could harm our business by delaying our clinical trials, impeding potential commercialization of drugs or increasing our costs.</w:t>
      </w:r>
    </w:p>
    <w:p>
      <w:pPr>
        <w:spacing w:after="0" w:line="143" w:lineRule="exact"/>
        <w:rPr>
          <w:sz w:val="20"/>
          <w:szCs w:val="20"/>
          <w:color w:val="auto"/>
        </w:rPr>
      </w:pPr>
    </w:p>
    <w:p>
      <w:pPr>
        <w:ind w:left="3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manufacturing operations of our contract manufacturers are subject to laws and other governmental regulatory requirements, which, if not met, would have a material adverse effect on our business, results of operations and financial condition.</w:t>
      </w:r>
    </w:p>
    <w:p>
      <w:pPr>
        <w:spacing w:after="0" w:line="118" w:lineRule="exact"/>
        <w:rPr>
          <w:sz w:val="20"/>
          <w:szCs w:val="20"/>
          <w:color w:val="auto"/>
        </w:rPr>
      </w:pPr>
    </w:p>
    <w:p>
      <w:pPr>
        <w:ind w:right="20" w:firstLine="644"/>
        <w:spacing w:after="0" w:line="253" w:lineRule="auto"/>
        <w:rPr>
          <w:sz w:val="20"/>
          <w:szCs w:val="20"/>
          <w:color w:val="auto"/>
        </w:rPr>
      </w:pPr>
      <w:r>
        <w:rPr>
          <w:rFonts w:ascii="Times New Roman" w:cs="Times New Roman" w:eastAsia="Times New Roman" w:hAnsi="Times New Roman"/>
          <w:sz w:val="18"/>
          <w:szCs w:val="18"/>
          <w:color w:val="auto"/>
        </w:rPr>
        <w:t>Our CMOs are required in certain cases to maintain compliance with current good manufacturing practices (cGMP), including cGMP guidelines applicable to active pharmaceutical ingredients, and drug products, and with laws and regulations governing manufacture and distribution of controlled substances, and are subject to inspections by the FDA, or comparable agencies in other jurisdictions administering such requirements. We anticipate periodic regulatory inspections of the manufacturing facilities of our CMOs for compliance with applicable regulatory requirements. Any failure of our CMOs to follow and document adherence to such cGMP and other laws and governmental regulations or satisfy other manufacturing and product release regulatory requirements may lead to significant delays in the availability of products for commercial use or clinical study, result in the termination or hold on a clinical study or delay or prevent filing or approval of marketing applications for our products. Failure to comply with applicable laws and regulations may also result in sanctions being imposed on us, including fines, injunctions, civil penalties, failure of regulatory authorities to grant marketing approval of our products, delays, suspension or withdrawal of approvals, license revocation, seizures, administrative detention, or recalls of products, operating restrictions and criminal prosecutions, any of which could harm our business. Regulatory inspections could result in costly manufacturing changes or facility or capital equipment upgrades to satisfy the FDA that our manufacturing and quality control procedures are in substantial compliance with cGMP. Manufacturing delays for our CMOs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pending resolution of regulatory deficiencies or suspensions could have a material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w:t>
      </w:r>
    </w:p>
    <w:p>
      <w:pPr>
        <w:spacing w:after="0" w:line="185" w:lineRule="exact"/>
        <w:rPr>
          <w:sz w:val="20"/>
          <w:szCs w:val="20"/>
          <w:color w:val="auto"/>
        </w:rPr>
      </w:pPr>
    </w:p>
    <w:p>
      <w:pPr>
        <w:ind w:left="34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the preclinical studies and clinical trials for our drug candidates and any failure of those parties to fulfill their obligations according to protocol standards could harm our development plans and adversely affect our business.</w:t>
      </w:r>
    </w:p>
    <w:p>
      <w:pPr>
        <w:spacing w:after="0" w:line="118"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We depend on our collaboration partners, independent clinical investigators, contract research organizations and other third-party service providers to conduct preclinical studies and clinical trials for our drug candidates, including to monitor, record, manage and analyze data generated from these studies. We rely heavily on these parties for the successful execution of our preclinical studies and clinical trials. Though we are ultimately responsible for the results of their activities, many aspects of their activities are beyond our control, such as the timing, conduct and management of data developed through these studies and trials. For example, we are responsible for ensuring that each of our clinical trials is conducted in accordance with the general investigational plan and protocols for the trials, but the independent clinical investigators may prioritize other projects over ours or communicate issues regarding our drug candidates to us in an untimely manner. Third parties may not complete activities on schedule or may not conduct our clinical trials in accordance with regulatory requirements, such as good laboratory practice or good clinical practice, or our stated protocols or eligibility criteria and enrollment standards and any subsequent data generated may be deemed unacceptable. We rely on our collaboration partners and other third parties to manage, analyze and transmit clinical data, and those partners and third parties may not carry out the performance of their duties with the required degree of care or skill to ensure valid and scientifically reliable work products. The early termination of any of our clinical trial arrangements, the failure of third parties to comply with the regulations and requirements governing clinical trials, the failure of third parties to properly conduct our clinical trials, or erroneously reported data could hinder or delay the development, approval and commercialization of our product candidates and would adversely affect our business, results of operations and financial condition.</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future depends on the proper management of our current and future business operations and their associated expenses.</w:t>
      </w:r>
    </w:p>
    <w:p>
      <w:pPr>
        <w:spacing w:after="0" w:line="189"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Our business strategy requires us to manage our business to provide for the continued development of our proprietary drug candidates. Our strategy also calls for us to manage the capital necessary to fund key programs through value-enhancing data and other milestones. If we are unable to manage effectively our current operations, our business, financial condition and results of operations may be adversely affected. If we are unable to effectively manage our expenses, we may find it necessary to reduce our personnel-related costs through reductions in our workforce, which could harm our operations, employee morale and impair our ability to retain and recruit talent. Furthermore, if adequate funds are not available, we may be required to obtain funds through arrangements with partners or other sources that may require us to relinquish rights to certain of our technologies, products or future economic rights that we would not otherwise relinquish or require us to enter into other dilutive financing arrangements on unfavorable terms.</w:t>
      </w:r>
    </w:p>
    <w:p>
      <w:pPr>
        <w:spacing w:after="0" w:line="144" w:lineRule="exact"/>
        <w:rPr>
          <w:sz w:val="20"/>
          <w:szCs w:val="20"/>
          <w:color w:val="auto"/>
        </w:rPr>
      </w:pPr>
    </w:p>
    <w:p>
      <w:pPr>
        <w:ind w:left="3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competition for highly qualified technical personnel is intense, we may not be able to attract and retain the personnel we need to support our operations and growth.</w:t>
      </w:r>
    </w:p>
    <w:p>
      <w:pPr>
        <w:spacing w:after="0" w:line="132" w:lineRule="exact"/>
        <w:rPr>
          <w:sz w:val="20"/>
          <w:szCs w:val="20"/>
          <w:color w:val="auto"/>
        </w:rPr>
      </w:pPr>
    </w:p>
    <w:p>
      <w:pPr>
        <w:ind w:right="60" w:firstLine="644"/>
        <w:spacing w:after="0" w:line="254" w:lineRule="auto"/>
        <w:rPr>
          <w:sz w:val="20"/>
          <w:szCs w:val="20"/>
          <w:color w:val="auto"/>
        </w:rPr>
      </w:pPr>
      <w:r>
        <w:rPr>
          <w:rFonts w:ascii="Times New Roman" w:cs="Times New Roman" w:eastAsia="Times New Roman" w:hAnsi="Times New Roman"/>
          <w:sz w:val="18"/>
          <w:szCs w:val="18"/>
          <w:color w:val="auto"/>
        </w:rPr>
        <w:t>We must attract and retain experts in the areas of research, development (including clinical testing), manufacturing, regulatory and finance, and may need to attract and retain commercial, marketing and distribution experts and develop additional expertise in our existing personnel. We face intense competition from other biopharmaceutical companies, research and academic institutions and other organizations for qualified personnel. Many of the organizations with which we compete for qualified personnel have greater resources than we have. Because competition for skilled personnel in our industry is intense, companies such as ours sometimes experience high attrition rates with regard to their skilled employees. Further, in making employment decisions, job candidates often consider the value of the stock awards they are to receive in connection with their employment. Our equity incentive plan and employee benefit plans may not be effective in motivating or retaining our employees or attracting new employees, and significant volatility in the price of our stock may adversely affect our ability to attract or retain qualified personnel. If we fail to attract new personnel or to retain and motivate our current personnel, our business and future growth prospects could be severely harmed.</w:t>
      </w:r>
    </w:p>
    <w:p>
      <w:pPr>
        <w:spacing w:after="0" w:line="144" w:lineRule="exact"/>
        <w:rPr>
          <w:sz w:val="20"/>
          <w:szCs w:val="20"/>
          <w:color w:val="auto"/>
        </w:rPr>
      </w:pPr>
    </w:p>
    <w:p>
      <w:pPr>
        <w:ind w:left="3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management team and key technical personnel, and the loss of any key manager or employee may impair our ability to develop our products effectively and may harm our business, operating results and financial condition.</w:t>
      </w:r>
    </w:p>
    <w:p>
      <w:pPr>
        <w:spacing w:after="0" w:line="118"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Our success largely depends on the continued services of our executive officers and other key personnel. The loss of one or more members of our management team or other key employees could seriously harm our business, operating results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and financial condition. The relationships that our key managers have cultivated within our industry make us particularly dependent upon their continued employment with us. We are also dependent on the continued services of our technical personnel because of the highly technical nature of our products and the regulatory approval process. Because our executive officers and key employees are not obligated to provide us with continued services, they could terminate their employment with us at any time without penalty. We do not have any post-employment noncompetition agreements with any of our employees and do not maintain key person life insurance policies on any of our executive officers or key employees.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Inflation has increased our operating costs and could negatively impact our operations.</w:t>
      </w:r>
    </w:p>
    <w:p>
      <w:pPr>
        <w:spacing w:after="0" w:line="189"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Increased price levels resulting from inflation have resulted in increased operating costs. In addition, the United States Federal Reserve has held interest rates at higher levels than in the past decade in response to concerns about inflation and the timing and extent of future reductions remain uncertain. Increases in or elevated interest rates, especially if coupled with reduced government spending and volatility in financial markets, may further increase economic uncertainty and heighten these risks.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future health epidemics.</w:t>
      </w:r>
    </w:p>
    <w:p>
      <w:pPr>
        <w:spacing w:after="0" w:line="202"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Our business could be adversely affected, directly or indirectly, by health epidemics in regions where we have concentrations of clinical trial sites or other business operations, including the manufacturing operations of third parties upon whom we rely. Health epidemics can negatively affect our clinical trials and those run by our collaborators or other third parties through delays in investigator recruitment, clinical site initiation, patient screening, or patient enrollment. In addition, health epidemics may cause disruptions in our supply chain or shortages in raw materials and equipment, which would affect our ability to supply drug candidates for clinical trials.</w:t>
      </w:r>
    </w:p>
    <w:p>
      <w:pPr>
        <w:spacing w:after="0" w:line="143"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If the health epidemic is sufficiently severe and widespread, it may require us to change the way in which can conduct our business, which may negatively result in unexpected expenses, decreased employee productivity and availability and employee work culture. Further, a severe and widespread epidemic may have a broad impact on global financial markets and could reduce our ability to access capital, which could in the future negatively affect our liquidity. In addition, a recession or market correction resulting from a health epidemic could materially affect our business and the value of our common stock.</w:t>
      </w:r>
    </w:p>
    <w:p>
      <w:pPr>
        <w:spacing w:after="0" w:line="143" w:lineRule="exact"/>
        <w:rPr>
          <w:sz w:val="20"/>
          <w:szCs w:val="20"/>
          <w:color w:val="auto"/>
        </w:rPr>
      </w:pPr>
    </w:p>
    <w:p>
      <w:pPr>
        <w:ind w:right="320" w:firstLine="644"/>
        <w:spacing w:after="0" w:line="282" w:lineRule="auto"/>
        <w:rPr>
          <w:sz w:val="20"/>
          <w:szCs w:val="20"/>
          <w:color w:val="auto"/>
        </w:rPr>
      </w:pPr>
      <w:r>
        <w:rPr>
          <w:rFonts w:ascii="Times New Roman" w:cs="Times New Roman" w:eastAsia="Times New Roman" w:hAnsi="Times New Roman"/>
          <w:sz w:val="18"/>
          <w:szCs w:val="18"/>
          <w:color w:val="auto"/>
        </w:rPr>
        <w:t>The ultimate effects of health epidemics are uncertain and subject to change and these effects could have a negative impact on our clinical trial timelines, operations, financial condition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Litigation and Regulatory Concerns</w:t>
      </w:r>
    </w:p>
    <w:p>
      <w:pPr>
        <w:spacing w:after="0" w:line="185" w:lineRule="exact"/>
        <w:rPr>
          <w:sz w:val="20"/>
          <w:szCs w:val="20"/>
          <w:color w:val="auto"/>
        </w:rPr>
      </w:pPr>
    </w:p>
    <w:p>
      <w:pPr>
        <w:ind w:left="3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do not obtain regulatory approval for our drug candidates on a timely basis, or at all, or if the terms of any approval impose significant restrictions or limitations on use, our business, results of operations and financial condition will be negatively affected.</w:t>
      </w:r>
    </w:p>
    <w:p>
      <w:pPr>
        <w:spacing w:after="0" w:line="118"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We or our partners may not obtain regulatory approval for drug candidates on a timely basis, or at all, or the terms of any approval (which in some countries includes pricing approval) may impose significant restrictions or limitations on use. Drug candidates must undergo rigorous animal and human testing and an extensive review process for safety and efficacy by the FDA and equivalent foreign regulatory authorities. The time required for obtaining regulatory decisions is uncertain and difficult to predict. The FDA and other U.S. and foreign regulatory authorities have substantial discretion, at any phase of development, to terminate clinical studies, require additional clinical development or other testing, delay or withhold registration and marketing approval and mandate product withdrawals, including recalls. Further, regulatory authorities have the discretion to analyze data using their own methodologies that may differ from those used by us or our partners, which could lead such authorities to arrive at different conclusions regarding the safety or efficacy of a biologic candidate. In addition, undesirable side effects caused by our drug candidates could cause us or regulatory authorities to interrupt, delay or halt clinical trials and could result in a more restricted label or the delay or denial of regulatory approval by regulatory authorities.</w:t>
      </w:r>
    </w:p>
    <w:p>
      <w:pPr>
        <w:spacing w:after="0" w:line="161"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Even if we or our partners receive regulatory approval of a product, the approval may limit the indicated uses for which the drug may be marketed. Our and our partnered drugs that have obtained regulatory approval, and the manufacturing processes for these products, are subject to continued review and periodic inspections by the FDA and other regulatory authorities. Discovery from such review and inspection of previously unknown problems may result in restrictions on marketed products or on us, including withdrawal or recall of such products from the market, suspension of related manufacturing operations or a more restricted label. The failure to obtain timely regulatory approval of drug candidates, any product marketing limitations or a product withdrawal would negatively impact our business, results of operations and financial condition.</w:t>
      </w:r>
    </w:p>
    <w:p>
      <w:pPr>
        <w:spacing w:after="0" w:line="143" w:lineRule="exact"/>
        <w:rPr>
          <w:sz w:val="20"/>
          <w:szCs w:val="20"/>
          <w:color w:val="auto"/>
        </w:rPr>
      </w:pPr>
    </w:p>
    <w:p>
      <w:pPr>
        <w:ind w:left="34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status or Breakthrough Therapy or Fast Track designations or other designation for one or more of our drug candidates, but even if any such designation or status is granted, it may not lead to a faster</w:t>
      </w:r>
    </w:p>
    <w:p>
      <w:pPr>
        <w:sectPr>
          <w:pgSz w:w="11900" w:h="16838" w:orient="portrait"/>
          <w:cols w:equalWidth="0" w:num="1">
            <w:col w:w="11240"/>
          </w:cols>
          <w:pgMar w:left="320" w:top="117" w:right="33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 process or regulatory review and may not increase the likelihood that our drug candidates will receive marketing approval, and we may be unable to maintain any benefits associated with such designations or status, including market exclusivity.</w:t>
      </w:r>
    </w:p>
    <w:p>
      <w:pPr>
        <w:spacing w:after="0" w:line="13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have been awarded Fast Track designations for rezpegaldesleukin for two different treatments: one for the treatment of adult and pediatric patients 12 years of age and older with moderate-to-severe atopic dermatitis whose disease is not adequately controlled with topical prescription therapies or when those therapies are not advisable; and another for the treatment of severe alopecia areata in adult and pediatric patients 12 years of age and older who weigh at least 40 kg. We may continue to seek Breakthrough Therapy and Fast Track designations for our current or future drug candidates. Receipt of a designation to facilitate drug candidate development is within the discretion of the FDA. Accordingly, even if we believe one of our drug candidates meets the criteria for a designation, the FDA may disagree. In any event, the receipt of such a designation for our drug candidates may not result in a faster development process, review, or approval compared to drug candidates considered for approval under conventional FDA procedures and does not ensure ultimate marketing approval by the FDA. In addition, the FDA may later decide that the product candidates no longer meet the designation conditions.</w:t>
      </w:r>
    </w:p>
    <w:p>
      <w:pPr>
        <w:spacing w:after="0" w:line="151"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We may not be able to obtain orphan drug designation for any indications for our drug candidates, and we may not be able to maintain such designations if granted.</w:t>
      </w:r>
    </w:p>
    <w:p>
      <w:pPr>
        <w:spacing w:after="0" w:line="135" w:lineRule="exact"/>
        <w:rPr>
          <w:sz w:val="20"/>
          <w:szCs w:val="20"/>
          <w:color w:val="auto"/>
        </w:rPr>
      </w:pPr>
    </w:p>
    <w:p>
      <w:pPr>
        <w:ind w:right="120" w:firstLine="644"/>
        <w:spacing w:after="0" w:line="254" w:lineRule="auto"/>
        <w:rPr>
          <w:sz w:val="20"/>
          <w:szCs w:val="20"/>
          <w:color w:val="auto"/>
        </w:rPr>
      </w:pPr>
      <w:r>
        <w:rPr>
          <w:rFonts w:ascii="Times New Roman" w:cs="Times New Roman" w:eastAsia="Times New Roman" w:hAnsi="Times New Roman"/>
          <w:sz w:val="18"/>
          <w:szCs w:val="18"/>
          <w:color w:val="auto"/>
        </w:rPr>
        <w:t>Generally, if a drug candidate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or biologic for the same approved use or indications for seven years. Even if we are able to obtain orphan drug designation or orphan drug exclusivity, that exclusivity may not effectively protect the product from competition because different drugs can be approved for the same approved use or condition. Even after an orphan drug is approved, the FDA can subsequently approve the same drug for the same approved use or condition if, among other things, the FDA concludes that the later drug is clinically superior, if it is shown to be safer, more effective or makes a major contribution to patient care. Orphan drug designation does not convey any advantage in or shorten the duration of the regulatory review and approval process. Even if we receive orphan drug designation or orphan drug exclusivity for any of our drug candidates, there is no guarantee that we will enjoy the benefits of such designations or exclusivity periods.</w:t>
      </w:r>
    </w:p>
    <w:p>
      <w:pPr>
        <w:spacing w:after="0" w:line="157" w:lineRule="exact"/>
        <w:rPr>
          <w:sz w:val="20"/>
          <w:szCs w:val="20"/>
          <w:color w:val="auto"/>
        </w:rPr>
      </w:pPr>
    </w:p>
    <w:p>
      <w:pPr>
        <w:ind w:left="34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p>
    <w:p>
      <w:pPr>
        <w:spacing w:after="0" w:line="134"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applicable cGMP, GLP and GCP requirements,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spacing w:after="0" w:line="149" w:lineRule="exact"/>
        <w:rPr>
          <w:sz w:val="20"/>
          <w:szCs w:val="20"/>
          <w:color w:val="auto"/>
        </w:rPr>
      </w:pPr>
    </w:p>
    <w:p>
      <w:pPr>
        <w:ind w:left="1300" w:right="640" w:hanging="648"/>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drug candidates, withdrawal of the product from the market or voluntary or mandatory product recalls;</w:t>
      </w:r>
    </w:p>
    <w:p>
      <w:pPr>
        <w:spacing w:after="0" w:line="13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84" w:lineRule="exact"/>
        <w:rPr>
          <w:rFonts w:ascii="Times New Roman" w:cs="Times New Roman" w:eastAsia="Times New Roman" w:hAnsi="Times New Roman"/>
          <w:sz w:val="18"/>
          <w:szCs w:val="18"/>
          <w:color w:val="auto"/>
        </w:rPr>
      </w:pPr>
    </w:p>
    <w:p>
      <w:pPr>
        <w:ind w:left="1300" w:right="220" w:hanging="648"/>
        <w:spacing w:after="0" w:line="282" w:lineRule="auto"/>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hanging="648"/>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84" w:lineRule="exact"/>
        <w:rPr>
          <w:rFonts w:ascii="Times New Roman" w:cs="Times New Roman" w:eastAsia="Times New Roman" w:hAnsi="Times New Roman"/>
          <w:sz w:val="18"/>
          <w:szCs w:val="18"/>
          <w:color w:val="auto"/>
        </w:rPr>
      </w:pPr>
    </w:p>
    <w:p>
      <w:pPr>
        <w:ind w:left="1300" w:right="220" w:hanging="648"/>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drug candidates; and</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85"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Further, if any of our drug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drug candidates, if approved, we could become subject to significant liability, which would materially adversely affect our business and financial condition.</w:t>
      </w:r>
    </w:p>
    <w:p>
      <w:pPr>
        <w:spacing w:after="0" w:line="148"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Additionally,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FDA’s and other regulatory authorities’ policies may change and additional government regulations may be enacted that could prevent, limit or delay regulatory approval of our drug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8" w:lineRule="exact"/>
        <w:rPr>
          <w:sz w:val="20"/>
          <w:szCs w:val="20"/>
          <w:color w:val="auto"/>
        </w:rPr>
      </w:pPr>
    </w:p>
    <w:p>
      <w:pPr>
        <w:ind w:left="3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party to numerous collaboration agreements and other significant agreements which contain complex commercial terms that could result in disputes, litigation or indemnification liability that could adversely affect our business, results of operations and financial condition.</w:t>
      </w:r>
    </w:p>
    <w:p>
      <w:pPr>
        <w:spacing w:after="0" w:line="118"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We have derived, and expect to derive in the foreseeable future, substantially all of our revenue from collaboration agreements with biotechnology and pharmaceutical companies. These collaboration agreements contain complex commercial terms, including:</w:t>
      </w:r>
    </w:p>
    <w:p>
      <w:pPr>
        <w:spacing w:after="0" w:line="121" w:lineRule="exact"/>
        <w:rPr>
          <w:sz w:val="20"/>
          <w:szCs w:val="20"/>
          <w:color w:val="auto"/>
        </w:rPr>
      </w:pPr>
    </w:p>
    <w:p>
      <w:pPr>
        <w:ind w:left="1300" w:right="80" w:hanging="648"/>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and commercialization obligations that are based on certain commercial reasonableness performance standards that can often be difficult to enforce if disputes arise as to adequacy of our partner’s performance;</w:t>
      </w:r>
    </w:p>
    <w:p>
      <w:pPr>
        <w:spacing w:after="0" w:line="134" w:lineRule="exact"/>
        <w:rPr>
          <w:rFonts w:ascii="Times New Roman" w:cs="Times New Roman" w:eastAsia="Times New Roman" w:hAnsi="Times New Roman"/>
          <w:sz w:val="18"/>
          <w:szCs w:val="18"/>
          <w:color w:val="auto"/>
        </w:rPr>
      </w:pPr>
    </w:p>
    <w:p>
      <w:pPr>
        <w:ind w:left="1300" w:right="480" w:hanging="648"/>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performance and reimbursement obligations for our personnel and other resources allocated to partnered biologic candidate development programs;</w:t>
      </w:r>
    </w:p>
    <w:p>
      <w:pPr>
        <w:spacing w:after="0" w:line="121" w:lineRule="exact"/>
        <w:rPr>
          <w:rFonts w:ascii="Times New Roman" w:cs="Times New Roman" w:eastAsia="Times New Roman" w:hAnsi="Times New Roman"/>
          <w:sz w:val="18"/>
          <w:szCs w:val="18"/>
          <w:color w:val="auto"/>
        </w:rPr>
      </w:pPr>
    </w:p>
    <w:p>
      <w:pPr>
        <w:ind w:left="1300" w:right="200" w:hanging="648"/>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commercial manufacturing agreements, some of which are priced on an actual cost basis for products supplied by us to our partners with complicated cost allocation formulas and methodologies;</w:t>
      </w:r>
    </w:p>
    <w:p>
      <w:pPr>
        <w:spacing w:after="0" w:line="121" w:lineRule="exact"/>
        <w:rPr>
          <w:rFonts w:ascii="Times New Roman" w:cs="Times New Roman" w:eastAsia="Times New Roman" w:hAnsi="Times New Roman"/>
          <w:sz w:val="18"/>
          <w:szCs w:val="18"/>
          <w:color w:val="auto"/>
        </w:rPr>
      </w:pPr>
    </w:p>
    <w:p>
      <w:pPr>
        <w:ind w:left="1300" w:hanging="648"/>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ownership allocation between us and our partners for improvements and new inventions developed during the course of the collaboration;</w:t>
      </w:r>
    </w:p>
    <w:p>
      <w:pPr>
        <w:spacing w:after="0" w:line="134" w:lineRule="exact"/>
        <w:rPr>
          <w:rFonts w:ascii="Times New Roman" w:cs="Times New Roman" w:eastAsia="Times New Roman" w:hAnsi="Times New Roman"/>
          <w:sz w:val="18"/>
          <w:szCs w:val="18"/>
          <w:color w:val="auto"/>
        </w:rPr>
      </w:pPr>
    </w:p>
    <w:p>
      <w:pPr>
        <w:ind w:left="1300" w:right="560" w:hanging="648"/>
        <w:spacing w:after="0" w:line="282"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on drug sales based on a number of complex variables, including net sales calculations, geography, scope of patent claim coverage, patent life, generic competitors, bundled pricing and other factors; and</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obligations for intellectual property infringement, product liability and certain other claims.</w:t>
      </w:r>
    </w:p>
    <w:p>
      <w:pPr>
        <w:spacing w:after="0" w:line="185"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We are a party to numerous significant collaboration agreements and other strategic transaction agreements (e.g. financings and asset divestitures) that contain complex representations and warranties, covenants and indemnification obligations. If we are found to have materially breached such agreements, we could be subject to substantial liabilities, which would harm our financial condition.</w:t>
      </w:r>
    </w:p>
    <w:p>
      <w:pPr>
        <w:sectPr>
          <w:pgSz w:w="11900" w:h="16838" w:orient="portrait"/>
          <w:cols w:equalWidth="0" w:num="1">
            <w:col w:w="11220"/>
          </w:cols>
          <w:pgMar w:left="320" w:top="117" w:right="35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litigation matters involving the interpretation and application of complex terms and conditions of our agreements. One or more disputes may arise or escalate in the future regarding our collaboration agreements, transaction documents, or third-party license agreements that may ultimately result in costly litigation and unfavorable interpretation of contract terms, which would have a material adverse effect on our business, financial condition and results of operations.</w:t>
      </w:r>
    </w:p>
    <w:p>
      <w:pPr>
        <w:spacing w:after="0" w:line="149" w:lineRule="exact"/>
        <w:rPr>
          <w:sz w:val="20"/>
          <w:szCs w:val="20"/>
          <w:color w:val="auto"/>
        </w:rPr>
      </w:pPr>
    </w:p>
    <w:p>
      <w:pPr>
        <w:ind w:left="3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intellectual property licenses related to the development of our drug candidates on a commercially reasonable basis, if at all.</w:t>
      </w:r>
    </w:p>
    <w:p>
      <w:pPr>
        <w:spacing w:after="0" w:line="118"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Numerous pending and issued U.S. and foreign patent rights and other proprietary rights owned by third parties relate to pharmaceutical compositions, methods of preparation and manufacturing, and methods of use and administration. We cannot predict with any certainty which, if any, patent rights will be considered relevant to our or our collaboration partners’ technology or drug candidates by authorities in the various jurisdictions where such rights exist, nor can we predict with certainty which, if any, of these rights will or may be asserted against us by third parties. In certain cases, we have existing licenses or cross-licenses with third parties; however, the sufficiency of the scope and adequacy of these licenses is very uncertain in view of the long development and commercialization cycles for biotechnology and pharmaceutical products. There can be no assurance that we can obtain a license to any technology that we determine we need on reasonable terms, if at all, or that we could develop or otherwise obtain alternate technology to avoid a need to secure a license. If we are required to enter into a license with a third party, our potential economic benefit for the products subject to the license will be diminished. If a license is not available on commercially reasonable terms or at all, we may be prevented from developing and commercializing the biologic, which could significantly harm our business, results of operations, and financial condition.</w:t>
      </w:r>
    </w:p>
    <w:p>
      <w:pPr>
        <w:spacing w:after="0" w:line="150" w:lineRule="exact"/>
        <w:rPr>
          <w:sz w:val="20"/>
          <w:szCs w:val="20"/>
          <w:color w:val="auto"/>
        </w:rPr>
      </w:pPr>
    </w:p>
    <w:p>
      <w:pPr>
        <w:ind w:left="34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pending patent applications do not issue, or are deemed invalid following issuance, we may lose valuable intellectual property protection.</w:t>
      </w:r>
    </w:p>
    <w:p>
      <w:pPr>
        <w:spacing w:after="0" w:line="13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 xml:space="preserve">The patent positions of pharmaceutical and biotechnology companies, such as ours, are uncertain and involve complex legal and factual issues. We own more than 150 U.S. and 650 foreign patents and have a number of pending patent applications that cover various aspects of our technologies. There can be no assurance that patents that have been issued will be held valid and enforceable in a court of law. Even for patents that are held valid and enforceable, the legal process associated with obtaining such a judgment is time consuming and costly. Additionally, issued patents can be subject to opposition,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re-examinations or other proceedings that can result in the revocation of the patent or maintenance of the patent in amended form (and potentially in a form that renders the patent without commercially relevant and/or broad coverage). Further, our competitors may be able to circumvent and otherwise design around our patents. Even if a patent is issued and enforceable, because development and commercialization of pharmaceutical products can be subject to substantial delays, patents may expire prior to the commercialization of the biologic. Moreover, even if a patent encompassing a biologic has not expired prior to the biologic’s commercialization, the patent may only provide a short period of protection following the commercialization of the covered product. In addition, our patents may be subject to post grant proceedings, such 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re-examinations, before the U.S. Patent and Trademark Office (or equivalent proceedings in other jurisdictions), which could result in a loss of the patent and/or substantial cost to us.</w:t>
      </w:r>
    </w:p>
    <w:p>
      <w:pPr>
        <w:spacing w:after="0" w:line="149"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We have filed patent applications covering our drug candidates, and plan to file additional patent applications as we deem appropriate. There can be no assurance that the patent applications for which we apply will actually issue as patents, or do so with commercially relevant and/or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47"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49"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18" w:lineRule="exact"/>
        <w:rPr>
          <w:sz w:val="20"/>
          <w:szCs w:val="20"/>
          <w:color w:val="auto"/>
        </w:rPr>
      </w:pPr>
    </w:p>
    <w:p>
      <w:pPr>
        <w:ind w:right="240" w:firstLine="644"/>
        <w:spacing w:after="0" w:line="266" w:lineRule="auto"/>
        <w:rPr>
          <w:sz w:val="20"/>
          <w:szCs w:val="20"/>
          <w:color w:val="auto"/>
        </w:rPr>
      </w:pPr>
      <w:r>
        <w:rPr>
          <w:rFonts w:ascii="Times New Roman" w:cs="Times New Roman" w:eastAsia="Times New Roman" w:hAnsi="Times New Roman"/>
          <w:sz w:val="18"/>
          <w:szCs w:val="18"/>
          <w:color w:val="auto"/>
        </w:rPr>
        <w:t>We rely on trade secret protection and other unpatented proprietary rights for our confidential and proprietary information. No assurance can be given that others will not independently develop substantially equivalent confidential and proprietary information or otherwise gain access to our trade secrets or disclose such technology, or that we can meaningfully</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protect our trade secrets. In addition, unpatented proprietary rights, including trade secrets and know-how, can be difficult to protect and may lose their value if they are independently developed by a third party or if their secrecy is lost. Any loss of trade secret protection or other unpatented proprietary rights could harm our business, results of operations and financial condition.</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w:t>
      </w:r>
    </w:p>
    <w:p>
      <w:pPr>
        <w:spacing w:after="0" w:line="189"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The manufacture, clinical testing, marketing and sale of medical products involve inherent product liability risks. If product liability costs exceed our product liability insurance coverage (or if we cannot secure product liability insurance), we may incur substantial liabilities that could have a severe negative impact on our financial position. Whether or not we are ultimately successful in any product liability litigation, such litigation would consume substantial amounts of our financial and managerial resources and might result in adverse publicity, all of which would impair our business. Additionally, we may not be able to maintain our clinical trial insurance or product liability insurance at an acceptable cost, if at all, and this insurance may not provide adequate coverage against potential claims or losses.</w:t>
      </w:r>
    </w:p>
    <w:p>
      <w:pPr>
        <w:spacing w:after="0" w:line="143" w:lineRule="exact"/>
        <w:rPr>
          <w:sz w:val="20"/>
          <w:szCs w:val="20"/>
          <w:color w:val="auto"/>
        </w:rPr>
      </w:pPr>
    </w:p>
    <w:p>
      <w:pPr>
        <w:ind w:left="3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current or future collaborators or service providers fail to comply with healthcare laws and regulations, we or they could be subject to enforcement actions and civil or criminal penalties.</w:t>
      </w:r>
    </w:p>
    <w:p>
      <w:pPr>
        <w:spacing w:after="0" w:line="132" w:lineRule="exact"/>
        <w:rPr>
          <w:sz w:val="20"/>
          <w:szCs w:val="20"/>
          <w:color w:val="auto"/>
        </w:rPr>
      </w:pPr>
    </w:p>
    <w:p>
      <w:pPr>
        <w:ind w:right="160" w:firstLine="644"/>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drug candidates, if approved, we will be subject to additional healthcare statutory and regulatory requirements and enforcement by the federal and state governments of the jurisdictions in which we conduct our business. Healthcare providers, physicians and third-party payers play a primary role in the recommendation and prescription of any drug candidates for which we obtain marketing approval. Our current and future arrangements with third-party payers and customers may expose us to broadly applicable fraud and abuse and other healthcare laws and regulations that may constrain the business or financial arrangements and relationships through which we market, sell and distribute our therapeutic candidates for which we obtain marketing approval. For more information, see “Business – Government Regulation - Other Healthcare Laws and Regulations.”</w:t>
      </w:r>
    </w:p>
    <w:p>
      <w:pPr>
        <w:spacing w:after="0" w:line="148"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If our operations are found to be in violation of any such requirements, we may be subject to penalties, including administrative, civil or criminal penalties, imprisonment, monetary damages, the curtailment or restructuring of our operations, or exclusion from participation in government contracting, healthcare reimbursement or other government programs, including Medicare and Medicaid, any of which could adversely affect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20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 paid healthcare costs, including price controls, restrictions on reimbursement and requirements for substitution of generic products for branded prescription drugs. Governmental policy can also change the commercial potential of our product candidates, including efforts to increase patient access to lower-cost generic and biosimilar drugs. 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Affordable Care Act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For more information, see “</w:t>
      </w:r>
      <w:r>
        <w:rPr>
          <w:rFonts w:ascii="Times New Roman" w:cs="Times New Roman" w:eastAsia="Times New Roman" w:hAnsi="Times New Roman"/>
          <w:sz w:val="18"/>
          <w:szCs w:val="18"/>
          <w:i w:val="1"/>
          <w:iCs w:val="1"/>
          <w:color w:val="auto"/>
        </w:rPr>
        <w:t>Business – Government Regulation – Legislative and Regulatory Landscape</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21" w:lineRule="exact"/>
        <w:rPr>
          <w:sz w:val="20"/>
          <w:szCs w:val="20"/>
          <w:color w:val="auto"/>
        </w:rPr>
      </w:pPr>
    </w:p>
    <w:p>
      <w:pPr>
        <w:ind w:left="1300" w:hanging="64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 candidates, if we obtain regulatory approval;</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approved products;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hanging="64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 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Recent CMS proposals, including the GLOBE, GUARD, and GENEROUS, could also materially impact our revenue.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spacing w:after="0" w:line="150" w:lineRule="exact"/>
        <w:rPr>
          <w:sz w:val="20"/>
          <w:szCs w:val="20"/>
          <w:color w:val="auto"/>
        </w:rPr>
      </w:pPr>
    </w:p>
    <w:p>
      <w:pPr>
        <w:ind w:left="3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Disruptions to the normal functioning of the FDA and other government agencies could hinder their ability to perform and carry out important roles and activities on which the operation of our business relies, which could negatively impact our business.</w:t>
      </w:r>
    </w:p>
    <w:p>
      <w:pPr>
        <w:spacing w:after="0" w:line="132" w:lineRule="exact"/>
        <w:rPr>
          <w:sz w:val="20"/>
          <w:szCs w:val="20"/>
          <w:color w:val="auto"/>
        </w:rPr>
      </w:pPr>
    </w:p>
    <w:p>
      <w:pPr>
        <w:ind w:right="180" w:firstLine="644"/>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leadership and policy changes. Average review times at the agency have fluctuated in recent years as a result. For example, in 2025, changes and cuts in FDA staffing have been reported as resulting in delays in the FDA’s responsiveness or in its ability to review IND submissions or marketing applications. In addition, government funding of other agencies on which our operations may rely is subject to the political process, which is inherently fluid and unpredictable.</w:t>
      </w:r>
    </w:p>
    <w:p>
      <w:pPr>
        <w:spacing w:after="0" w:line="143" w:lineRule="exact"/>
        <w:rPr>
          <w:sz w:val="20"/>
          <w:szCs w:val="20"/>
          <w:color w:val="auto"/>
        </w:rPr>
      </w:pPr>
    </w:p>
    <w:p>
      <w:pPr>
        <w:ind w:right="40" w:firstLine="644"/>
        <w:spacing w:after="0" w:line="273" w:lineRule="auto"/>
        <w:rPr>
          <w:sz w:val="20"/>
          <w:szCs w:val="20"/>
          <w:color w:val="auto"/>
        </w:rPr>
      </w:pPr>
      <w:r>
        <w:rPr>
          <w:rFonts w:ascii="Times New Roman" w:cs="Times New Roman" w:eastAsia="Times New Roman" w:hAnsi="Times New Roman"/>
          <w:sz w:val="17"/>
          <w:szCs w:val="17"/>
          <w:color w:val="auto"/>
        </w:rPr>
        <w:t>Over the last several years, the U.S. government has shut down several times, including from October 1, 2025 through November 12, 2025, and from January 31, 2025 through February 3, 2026. Government shutdowns, if prolonged, could significantly impact the ability of government agencies upon which we rely (such as the FDA and SEC) to timely review and process our regulatory submissions, which could have a material adverse effect on our business. Disruptions at the FDA and other agencies may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27" w:lineRule="exact"/>
        <w:rPr>
          <w:sz w:val="20"/>
          <w:szCs w:val="20"/>
          <w:color w:val="auto"/>
        </w:rPr>
      </w:pPr>
    </w:p>
    <w:p>
      <w:pPr>
        <w:ind w:left="34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legal proceedings and may incur substantial litigation costs and liabilities that will adversely affect our business, financial condition and results of operations.</w:t>
      </w:r>
    </w:p>
    <w:p>
      <w:pPr>
        <w:spacing w:after="0" w:line="13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we are involved in legal proceedings where we or other third parties are enforcing or seeking intellectual property rights, invalidating or limiting patent rights that have already been allowed or issued, or otherwise asserting proprietary rights through one or more potential legal remedies. Third parties have asserted, and may in the future assert, that we or our partners infringe their proprietary rights, such as patents and trade secrets, or have otherwise breached our obligations to them. A third party often bases its assertions on a claim that its patents cover the technology we use or our drug candidates or that we have misappropriated its confidential or proprietary information. Similar assertions of infringement could be based on future patents that may issue to third parties. In certain of our agreements with our partners, we are obligated to indemnify and hold harmless our collaboration partners from intellectual property infringement, product liability and certain other claims, which could cause us to incur substantial costs and liability if we are called upon to defend ourselves and our partners against any claims. We are also regularly involved in opposition proceedings at the European Patent Office and in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re-examination proceedings at the U.S. Patent and Trademark Office where third parties seek to invalidate or limit the scope of our allowed patent applications or issued patents covering (among other things) our drug candidates and technologies. If a third party obtains injunctive or other equitable relief against us or our partners, they could effectively prevent us, or our partners, from developing or commercializing, or deriving revenue from, certain drugs or drug candidates in the U.S. and abroad. Costs associated with litigation, substantial damage claims, indemnification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or royalties paid for licenses from third parties could have a material adverse effect on our business, financial condition and results of operations.</w:t>
      </w:r>
    </w:p>
    <w:p>
      <w:pPr>
        <w:spacing w:after="0" w:line="198"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From time to time, we may also be involved in legal proceedings other than those related to intellectual property, including securities actions or derivative actions or other complaints.</w:t>
      </w:r>
    </w:p>
    <w:p>
      <w:pPr>
        <w:spacing w:after="0" w:line="121"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On August 7, 2023, we filed a complaint in the United States District Court for the Northern District of California (the Court) against Eli Lilly and Company alleging, among other claims, breach of contract and breach of implied covenant of good faith and fair dealing (the Complaint), in connection with our collaboration with Lilly. Following the denial of its motion to dismiss the Complaint entirely, Lilly filed an answer that included counterclaims against us alleging breach of specified confidentiality provisions and defamation. On September 19, 2025, Lilly filed a motion to voluntarily dismiss its counterclaims with prejudice, which the Court granted on October 7, 2025. Lilly has filed a motion for summary judgment, and the court has not yet issued a decision on this motion, as well as other pre-trial motions filed by both parties that remain pending before the Court. Following the shutdown of the federal government, on October 14, 2025, the Court postponed the previously calendared October 27, 2025, starting date of the jury trial. The Court has set a new jury trial date of September 8, 2026.</w:t>
      </w:r>
    </w:p>
    <w:p>
      <w:pPr>
        <w:spacing w:after="0" w:line="151"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On March 6, 2026, a putative class action complaint was filed in the U.S. District Court for the Northern District of California against the Company, our CEO, CFO and Chief Research and Development Officer, captioned Schramke v. Nektar Therapeutics, et al. The complaint asserts claims for violations of Sections 10(b) and 20(a) of the Securities Exchange Act and SEC rules promulgated thereunder, seeks damages, attorneys’ fees and other relief, and alleges, among other things, that from February 26, 2025 through December 15, 2025, the defendants made misleading statements and/or failed to disclose material information regarding the REZOLVE-AA trial. The Company denies the claims, believes they are without merit, and intends to defend vigorously against this litigation.</w:t>
      </w:r>
    </w:p>
    <w:p>
      <w:pPr>
        <w:spacing w:after="0" w:line="160"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The cost to us in initiating or defending any litigation or other proceeding, even if resolved in our favor, could be substantial, and litigation would divert our management’s attention. Uncertainties resulting from the initiation and continuation of patent litigation or other proceedings could delay our research and development efforts or result in financial implications either in terms of seeking license arrangements or payment of damages or royalties. There is no guarantee that our insurance coverage for damages resulting from any litigation or the settlement would be sufficient and could result in substantial financial risk to the Company.</w:t>
      </w:r>
    </w:p>
    <w:p>
      <w:pPr>
        <w:spacing w:after="0" w:line="143"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Given the nature of lawsuits and complaints, we cannot reasonably estimate a potential future loss or a range of potential future losses for any of the legal proceedings we may be involved in. However, an unfavorable resolution could potentially have a material adverse effect on our business, financial condition, and results of operations or prospects, and potentially result in paying monetary damages. We have recorded no liability for any litigation matters in our Consolidated Balance Sheets at December 31, 2025.</w:t>
      </w:r>
    </w:p>
    <w:p>
      <w:pPr>
        <w:spacing w:after="0" w:line="135" w:lineRule="exact"/>
        <w:rPr>
          <w:sz w:val="20"/>
          <w:szCs w:val="20"/>
          <w:color w:val="auto"/>
        </w:rPr>
      </w:pPr>
    </w:p>
    <w:p>
      <w:pPr>
        <w:ind w:left="34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actual or alleged (failure to comply with privacy and data protection laws, could subject us to fines, penalties, increased regulatory scrutiny, or suspension or exclusion from participation in government healthcare programs. Any of these outcomes could adversely affect our business, financial condition and results of operations.</w:t>
      </w:r>
    </w:p>
    <w:p>
      <w:pPr>
        <w:spacing w:after="0" w:line="148"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Our business is subject to many federal, state and foreign privacy and data protection laws and regulations governing the collection, use, disclosure and security of personal information, including information we collect from individuals participating in our clinical trials and our employees, among others. In the U.S., in addition to federal laws such as the HIPAA (as amended by HITECH) and Section 5 of the FTC Act, that may apply to our business, numerous states have passed comprehensive privacy laws relating to the privacy and security of personal information, including health information. Legal requirements often vary across jurisdictions in significant ways, complicating compliance efforts. The global data protection landscape continues to rapidly evolve, and implementation standards and enforcement practices are likely to remain uncertain for the foreseeable future.</w:t>
      </w:r>
    </w:p>
    <w:p>
      <w:pPr>
        <w:spacing w:after="0" w:line="147"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For example, the California Consumer Privacy Act (CCPA) grants California consumers expanded rights regarding their personal information, including the right to access, correct, delete, and limit the sharing, use and disclosure of personal information, and receive detailed information about how their personal information is used. The CCPA provides for civil penalties for violations, as well as a private right of action for certain data breaches that may increase the risk of data breach litigation and compliance costs. Similarly comprehensive state privacy laws have become effective in more than a dozen other U.S. states. In addition, certain states have passed laws specifically regulating consumer health information. For example, Washington’s My Health My Data Act (MHMDA) requires regulated entities to obtain consent to collect health information, grants consumers certain rights, including to request deletion, and provides for robust enforcement mechanisms, including a private right of action for consumer claims. At the federal level, the FTC has used its authority over “unfair or deceptive acts or practices” to impose stringent requirements on the collection and disclosure of sensitive categories of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personal information, including health information, which may increase our potential liability and compliance costs and adversely affect our business.Moreover, the FTC’s expanded interpretation of a “breach” under its Health Breach Notification Rule could impose new disclosure obligations that would apply in the event of a qualifying breach.</w:t>
      </w:r>
    </w:p>
    <w:p>
      <w:pPr>
        <w:spacing w:after="0" w:line="149" w:lineRule="exact"/>
        <w:rPr>
          <w:sz w:val="20"/>
          <w:szCs w:val="20"/>
          <w:color w:val="auto"/>
        </w:rPr>
      </w:pPr>
    </w:p>
    <w:p>
      <w:pPr>
        <w:ind w:right="80" w:firstLine="644"/>
        <w:spacing w:after="0" w:line="253" w:lineRule="auto"/>
        <w:rPr>
          <w:sz w:val="20"/>
          <w:szCs w:val="20"/>
          <w:color w:val="auto"/>
        </w:rPr>
      </w:pPr>
      <w:r>
        <w:rPr>
          <w:rFonts w:ascii="Times New Roman" w:cs="Times New Roman" w:eastAsia="Times New Roman" w:hAnsi="Times New Roman"/>
          <w:sz w:val="18"/>
          <w:szCs w:val="18"/>
          <w:color w:val="auto"/>
        </w:rPr>
        <w:t>The European Regulation 2016/679, known as the General Data Protection Regulation (EU GDPR), the implementing legislation of EU Member States, which became effective on May 25, 2018, and the EU GDPR as incorporated into the laws of the United Kingdom (UK GDPR) (together with the EU GDPR, the GDPR) apply to the collection and processing of personal data, including health-related information, by companies located in the EU and UK, or in certain circumstances, by companies located outside of the EU or UK and processing personal information of individuals located in the EU or UK. The GDPR is wide-ranging in scope and imposes strict obligations on the ability to process personal data, including health-related information, in particular in relation to their collection, use, disclosure and transfer. These include several requirements relating to, for example, (i) ensuring a legal basis or condition applies to the processing of personal data and, in some situations where required, obtaining the consent of the individuals to whom the personal data relates, (ii) the information provided to the individuals about how their personal information is used, (iii) responding to data subject requests,</w:t>
      </w:r>
    </w:p>
    <w:p>
      <w:pPr>
        <w:spacing w:after="0" w:line="1" w:lineRule="exact"/>
        <w:rPr>
          <w:sz w:val="20"/>
          <w:szCs w:val="20"/>
          <w:color w:val="auto"/>
        </w:rPr>
      </w:pPr>
    </w:p>
    <w:p>
      <w:pPr>
        <w:ind w:right="60" w:firstLine="8"/>
        <w:spacing w:after="0" w:line="252" w:lineRule="auto"/>
        <w:tabs>
          <w:tab w:leader="none" w:pos="3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requirements to notify the competent national data protection authorities and data subjects of personal data breaches, (v) implementing safeguards in connection with the security and confidentiality of the personal data, (vi) accountability requirements and (vii) taking certain measures when engaging third-party processors. The GDPR prohibits the transfer of personal data to countries outside of the European Economic Area (EEA) and UK, such as the United States, which are not considered by the European Commission to provide an adequate level of data protection. The GDPR also permits data protection authorities to impose large penalties for violations of the GDPR, including potential fines of up to €20 million (£17.5 million under the UK GDPR)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148"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24, prohibits transfers of data, including health data, genetic data, and biospecimens, to countries of concern, including China. The rule also prohibits covered businesses from granting access to certain investment agreements, employment agreements and vendor agreements involving such data to countries of concern, absent specified cybersecurity controls. Actual or alleged violations of these regulations may be punishable by criminal and/or civil sanctions, may result in exclusion from participation in federal and state programs and may restrict our ability to use certain vendors, sites, investigators, or service providers in global clinical trials.</w:t>
      </w:r>
    </w:p>
    <w:p>
      <w:pPr>
        <w:spacing w:after="0" w:line="148"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Any actual or alleged failure to comply with data protection laws, including with respect to information relating to our employees and/or clinical patients, could result in reputational harm, monetary fines (such as those imposed by the GDPR and CCPA), civil suits, civil penalties or criminal sanctions and requirements to disclose the breach, and the development of our drug candidates could be delayed. In addition, we continue to be subject to new and evolving data protection laws and regulations from a variety of jurisdictions, and there is a risk that our systems and processes for managing and protecting data may be found to be inadequate, which could materially adversely affect our business, financial condition and results of operations.</w:t>
      </w:r>
    </w:p>
    <w:p>
      <w:pPr>
        <w:spacing w:after="0" w:line="152" w:lineRule="exact"/>
        <w:rPr>
          <w:sz w:val="20"/>
          <w:szCs w:val="20"/>
          <w:color w:val="auto"/>
        </w:rPr>
      </w:pPr>
    </w:p>
    <w:p>
      <w:pPr>
        <w:ind w:left="3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Like many companies, we may use artificial intelligence (AI) technologies, including generative AI, which presents risks and challenges that can impact our business, including by posing cybersecurity risks to our confidential information, proprietary information, and personal data.</w:t>
      </w:r>
    </w:p>
    <w:p>
      <w:pPr>
        <w:spacing w:after="0" w:line="118"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use AI technologies, including generative AI and commercially available tools, in the operation of our business. The use of new and evolving technologies, such as AI, may present risks and challenges that can adversely impact our business and reputation, including cybersecurity, data privacy, information technology, confidentiality, regulatory, legal, operational, competitive, intellectual property, and other risks. Specifically, risks related to accuracy, bias, AI hallucinations, discrimination, harmful content, misinformation, fraud, scams, targeted attacks (including model poisoning or data poisoning), surveillance, data leakage, bias and inequality, environmental and other harms may flow from our development or use of AI technologies. Certain AI tools may increase the risk of unauthorized disclosure of confidential information, compromise of proprietary intellectual property, or inadvertent inclusion of third-party intellectual property or other protected material, which could result in disputes or claims of infringement.</w:t>
      </w:r>
    </w:p>
    <w:p>
      <w:pPr>
        <w:spacing w:after="0" w:line="18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Government and supranational regulation related to AI is evolving as new laws and regulations are implemented globally and could significantly increase the burden and operational cost of compliance in this area, including through requirements related to transparency, accountability, risk management, human oversight, and data governance. We expect to see increasing regulation related to AI governance, use and ethics, which may also increase the burden and cost of research, development and compliance. For example, the EU’s Artificial Intelligence Act (AI Act) entered into force on August 1,</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2024, with important sections scheduled to come into effect on August 2, 2026. As currently enacted, the AI Act imposes significant obligations on providers and deployers of high-risk AI systems and encourages providers and deployers of AI systems and general purpose AI models, and encourages providers and deployers of AI systems to account for EU ethical principles when developing and using AI technology. If we develop or deploy AI systems that are governed by the AI Act, we may be required to adopt higher standards of data quality, transparency and human oversight, and adhere to specific and potentially burdensome and costly ethical, accountability and administrative requirements.</w:t>
      </w:r>
    </w:p>
    <w:p>
      <w:pPr>
        <w:spacing w:after="0" w:line="143"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the U.S., the regulatory environment for AI is complex and uncertain. Over the past year, states have advanced, and in some cases passed, dozens of laws focusing on AI governance and regulation, including on deployment of AI in healthcare settings. At the federal level, the current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In addition, there is continued uncertainty regarding the application of existing federal and state legal frameworks to uses and development of AI, and legal norms and market standards regarding AI continue to evolve. The FDA, for example, issued draft guidance on the use of AI in regulatory decision-making for drug and biological products that centers on the context of use while establishing a credibility assessment framework for establishing and evaluating artificial intelligence model outputs intended to support regulatory decision-making. If we develop or use AI systems governed by such laws or regulations, including as informed by regulatory guidance,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163"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The use of certain AI technologies can also give rise to intellectual property risks, including by disclosing or otherwise compromising confidential or proprietary intellectual property, or by undermining our ability to assert or defend ownership rights in intellectual property created with the assistance of AI tools. 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AI, to engage in illegal activities such as the theft and misuse of personal or proprietary information.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spacing w:after="0" w:line="147"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18"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As a research-based biopharmaceutical company with significant research and development operations, we are subject to extensive environmental, health, and safety laws and regulations, including those governing the use of hazardous materials. Our research and development activities and those who conduct these activities on our behalf involve the controlled use of chemicals, radioactive compounds, and other hazardous materials. The cost of compliance with environmental, health, and safety regulations (including, but not limited to, the handling and disposal of both hazardous and non-hazardous waste) is substantial. If an accident involving these materials or an environmental discharge were to occur, we could be held liable for any resulting damages, or face regulatory actions, which could exceed our resources or insurance coverage.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Investment and Securities</w:t>
      </w:r>
    </w:p>
    <w:p>
      <w:pPr>
        <w:spacing w:after="0" w:line="198" w:lineRule="exact"/>
        <w:rPr>
          <w:sz w:val="20"/>
          <w:szCs w:val="20"/>
          <w:color w:val="auto"/>
        </w:rPr>
      </w:pPr>
    </w:p>
    <w:p>
      <w:pPr>
        <w:ind w:left="34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and may continue to fluctuate significantly, which could result in substantial losses for investors and securities class action and shareholder derivative litigation.</w:t>
      </w:r>
    </w:p>
    <w:p>
      <w:pPr>
        <w:spacing w:after="0" w:line="118"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Our stock price is volatile. During the year ended December 31, 2025, based on closing prices on the NASDAQ Capital Market, the closing price of our common stock ranged from $7.35 to $65.69 per share (on a post-reverse split basis). In response to volatility in the price of our common stock in the past, plaintiffs’ securities litigation firms have sought information from us and/or shareholders as part of their investigation into alleged securities violations and breaches of duties (among other corporate misconduct allegations). Following their investigations, plaintiffs’ securities litigation firms have often initiated legal action, including the filing of class action lawsuits, derivative lawsuits, and other forms of redress. We expect our stock price to remain volatile and we continue to expect the initiation of legal actions by plaintiffs’ securities litigation firms following share price fluctuations. A variety of factors may have a significant effect on the market price of our common stock, including, among others, the risks described in this section titled “Risk Factors” and the following:</w:t>
      </w:r>
    </w:p>
    <w:p>
      <w:pPr>
        <w:spacing w:after="0" w:line="151" w:lineRule="exact"/>
        <w:rPr>
          <w:sz w:val="20"/>
          <w:szCs w:val="20"/>
          <w:color w:val="auto"/>
        </w:rPr>
      </w:pPr>
    </w:p>
    <w:p>
      <w:pPr>
        <w:ind w:left="1300" w:right="180" w:hanging="648"/>
        <w:spacing w:after="0" w:line="266"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data from, or material developments in, our clinical studies and those of our collaboration partners, including data regarding efficacy and safety, delays in clinical development, regulatory approval or commercial launch – in particular, the results from clinical studies of bempegaldesleukin and rezpegaldesleukin have had a significant impact on our stock price;</w:t>
      </w:r>
    </w:p>
    <w:p>
      <w:pPr>
        <w:spacing w:after="0" w:line="148" w:lineRule="exact"/>
        <w:rPr>
          <w:rFonts w:ascii="Times New Roman" w:cs="Times New Roman" w:eastAsia="Times New Roman" w:hAnsi="Times New Roman"/>
          <w:sz w:val="18"/>
          <w:szCs w:val="18"/>
          <w:color w:val="auto"/>
        </w:rPr>
      </w:pPr>
    </w:p>
    <w:p>
      <w:pPr>
        <w:ind w:left="1300" w:right="60" w:hanging="648"/>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outcomes from our clinical trials which can be difficult to predict particularly for clinical studies that have event-driven end points such as progression-free survival and overall survival;</w:t>
      </w:r>
    </w:p>
    <w:p>
      <w:pPr>
        <w:spacing w:after="0" w:line="121" w:lineRule="exact"/>
        <w:rPr>
          <w:rFonts w:ascii="Times New Roman" w:cs="Times New Roman" w:eastAsia="Times New Roman" w:hAnsi="Times New Roman"/>
          <w:sz w:val="18"/>
          <w:szCs w:val="18"/>
          <w:color w:val="auto"/>
        </w:rPr>
      </w:pPr>
    </w:p>
    <w:p>
      <w:pPr>
        <w:ind w:left="1300" w:right="120" w:hanging="648"/>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collaboration partners as to their plans or expectations related to drug candidates and approved biologics in which we have a substantial economic interest;</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terminations or disputes under our collaboration agreements;</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of operations;</w:t>
      </w:r>
    </w:p>
    <w:p>
      <w:pPr>
        <w:spacing w:after="0" w:line="184" w:lineRule="exact"/>
        <w:rPr>
          <w:rFonts w:ascii="Times New Roman" w:cs="Times New Roman" w:eastAsia="Times New Roman" w:hAnsi="Times New Roman"/>
          <w:sz w:val="18"/>
          <w:szCs w:val="18"/>
          <w:color w:val="auto"/>
        </w:rPr>
      </w:pPr>
    </w:p>
    <w:p>
      <w:pPr>
        <w:ind w:left="1300" w:right="200" w:hanging="648"/>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 including intellectual property litigation or entering into intellectual property license agreements and the costs associated with those arrangements;</w:t>
      </w:r>
    </w:p>
    <w:p>
      <w:pPr>
        <w:spacing w:after="0" w:line="121" w:lineRule="exact"/>
        <w:rPr>
          <w:rFonts w:ascii="Times New Roman" w:cs="Times New Roman" w:eastAsia="Times New Roman" w:hAnsi="Times New Roman"/>
          <w:sz w:val="18"/>
          <w:szCs w:val="18"/>
          <w:color w:val="auto"/>
        </w:rPr>
      </w:pPr>
    </w:p>
    <w:p>
      <w:pPr>
        <w:ind w:left="1300" w:right="420" w:hanging="648"/>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therapeutic products that may compete with our approved partnered products or products under development;</w:t>
      </w:r>
    </w:p>
    <w:p>
      <w:pPr>
        <w:spacing w:after="0" w:line="13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changes in governmental regulation affecting us or our competitors;</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brought against us or third parties to whom we have indemnification obligations;</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drug formulations developed by us or others;</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needs and activities; and</w:t>
      </w:r>
    </w:p>
    <w:p>
      <w:pPr>
        <w:spacing w:after="0" w:line="184" w:lineRule="exact"/>
        <w:rPr>
          <w:rFonts w:ascii="Times New Roman" w:cs="Times New Roman" w:eastAsia="Times New Roman" w:hAnsi="Times New Roman"/>
          <w:sz w:val="18"/>
          <w:szCs w:val="18"/>
          <w:color w:val="auto"/>
        </w:rPr>
      </w:pPr>
    </w:p>
    <w:p>
      <w:pPr>
        <w:ind w:left="1300" w:right="440" w:hanging="648"/>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impacts of rising inflation and interest rates and global geopolitical tensions.</w:t>
      </w:r>
    </w:p>
    <w:p>
      <w:pPr>
        <w:spacing w:after="0" w:line="121"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At times, our stock price has been volatile even in the absence of significant news or developments. The stock prices of biotechnology companies and securities markets generally have been subject to dramatic price swings in recent years.</w:t>
      </w:r>
    </w:p>
    <w:p>
      <w:pPr>
        <w:spacing w:after="0" w:line="131"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implemented certain anti-takeover measures, which make it more difficult to acquire us, even though such acquisitions may be beneficial to our stockholders.</w:t>
      </w:r>
    </w:p>
    <w:p>
      <w:pPr>
        <w:spacing w:after="0" w:line="118" w:lineRule="exact"/>
        <w:rPr>
          <w:sz w:val="20"/>
          <w:szCs w:val="20"/>
          <w:color w:val="auto"/>
        </w:rPr>
      </w:pPr>
    </w:p>
    <w:p>
      <w:pPr>
        <w:ind w:right="220" w:firstLine="644"/>
        <w:spacing w:after="0" w:line="282" w:lineRule="auto"/>
        <w:rPr>
          <w:sz w:val="20"/>
          <w:szCs w:val="20"/>
          <w:color w:val="auto"/>
        </w:rPr>
      </w:pPr>
      <w:r>
        <w:rPr>
          <w:rFonts w:ascii="Times New Roman" w:cs="Times New Roman" w:eastAsia="Times New Roman" w:hAnsi="Times New Roman"/>
          <w:sz w:val="18"/>
          <w:szCs w:val="18"/>
          <w:color w:val="auto"/>
        </w:rPr>
        <w:t>Provisions of our certificate of incorporation and bylaws, as well as provisions of Delaware law, could make it more difficult for a third party to acquire us, even though such acquisitions may be beneficial to our stockholders. These anti-takeover provisions include:</w:t>
      </w:r>
    </w:p>
    <w:p>
      <w:pPr>
        <w:spacing w:after="0" w:line="121" w:lineRule="exact"/>
        <w:rPr>
          <w:sz w:val="20"/>
          <w:szCs w:val="20"/>
          <w:color w:val="auto"/>
        </w:rPr>
      </w:pPr>
    </w:p>
    <w:p>
      <w:pPr>
        <w:ind w:left="1300" w:hanging="648"/>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classified board of directors such that not all members of the board may be elected at one time;</w:t>
      </w:r>
    </w:p>
    <w:p>
      <w:pPr>
        <w:spacing w:after="0" w:line="198" w:lineRule="exact"/>
        <w:rPr>
          <w:rFonts w:ascii="Times New Roman" w:cs="Times New Roman" w:eastAsia="Times New Roman" w:hAnsi="Times New Roman"/>
          <w:sz w:val="18"/>
          <w:szCs w:val="18"/>
          <w:color w:val="auto"/>
        </w:rPr>
      </w:pPr>
    </w:p>
    <w:p>
      <w:pPr>
        <w:ind w:left="1300" w:right="60" w:hanging="648"/>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 provision for cumulative voting in the election of directors, which would otherwise allow less than a majority of stockholders to elect director candidates;</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right="20" w:hanging="648"/>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authorize the issuance of “blank check” preferred stock to increase the number of outstanding shares and thwart a takeover attempt;</w:t>
      </w:r>
    </w:p>
    <w:p>
      <w:pPr>
        <w:spacing w:after="0" w:line="13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stockholder action by written consent, thereby requiring all stockholder actions to be taken at a meeting of stockholders;</w:t>
      </w:r>
    </w:p>
    <w:p>
      <w:pPr>
        <w:spacing w:after="0" w:line="184" w:lineRule="exact"/>
        <w:rPr>
          <w:rFonts w:ascii="Times New Roman" w:cs="Times New Roman" w:eastAsia="Times New Roman" w:hAnsi="Times New Roman"/>
          <w:sz w:val="18"/>
          <w:szCs w:val="18"/>
          <w:color w:val="auto"/>
        </w:rPr>
      </w:pPr>
    </w:p>
    <w:p>
      <w:pPr>
        <w:ind w:left="1300" w:right="220" w:hanging="648"/>
        <w:spacing w:after="0" w:line="282" w:lineRule="auto"/>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advance notice requirements for nominations for election to the board of directors or for proposing matters that can be acted upon by stockholders at stockholder meetings; and</w:t>
      </w:r>
    </w:p>
    <w:p>
      <w:pPr>
        <w:spacing w:after="0" w:line="121"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who may call a special meeting of stockholders.</w:t>
      </w:r>
    </w:p>
    <w:p>
      <w:pPr>
        <w:spacing w:after="0" w:line="198"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Further, provisions of Delaware law relating to business combinations with interested stockholders may discourage, delay or prevent a third party from acquiring us. These provisions may also discourage, delay or prevent a third party from acquiring a large portion of our securities or initiating a tender offer or proxy contest, even if our stockholders might receive a premium for their shares in the acquisition over the then-current market prices. We also have a change of control severance benefit plan, which provides for certain cash severance, stock award acceleration and other benefits in the event our employees are terminated (or, in some cases, resign for specified reasons) following an acquisition. This severance plan could discourage a third party from acquiring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jc w:val="both"/>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significantly rely on information technology systems and infrastructure, and any failure, inadequacy, damage, interruption, compromise, incident or breach, or security lapse of that technology within our internal computer systems and infrastructure, or those of our partners, vendors, CROs, CMOs or other contractors or consultants, may result in a material disruption of our development programs and our operations and financial condition.</w:t>
      </w:r>
    </w:p>
    <w:p>
      <w:pPr>
        <w:spacing w:after="0" w:line="153"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As part of our business, we collect, store and transmit large amounts of confidential information, proprietary or other sensitive information, including intellectual property and personal data. Despite the implementation of security measures, our internal computer systems and infrastructure or those of our partners, vendors, contract research organizations (CROs), contract manufacturing organizations (CMOs) and other contractors and consultants are vulnerable to loss, damage, compromise, interruption, denial-of-service, unauthorized access, or misappropriation.</w:t>
      </w:r>
    </w:p>
    <w:p>
      <w:pPr>
        <w:spacing w:after="0" w:line="139" w:lineRule="exact"/>
        <w:rPr>
          <w:sz w:val="20"/>
          <w:szCs w:val="20"/>
          <w:color w:val="auto"/>
        </w:rPr>
      </w:pPr>
    </w:p>
    <w:p>
      <w:pPr>
        <w:ind w:firstLine="644"/>
        <w:spacing w:after="0" w:line="252" w:lineRule="auto"/>
        <w:rPr>
          <w:sz w:val="20"/>
          <w:szCs w:val="20"/>
          <w:color w:val="auto"/>
        </w:rPr>
      </w:pPr>
      <w:r>
        <w:rPr>
          <w:rFonts w:ascii="Times New Roman" w:cs="Times New Roman" w:eastAsia="Times New Roman" w:hAnsi="Times New Roman"/>
          <w:sz w:val="18"/>
          <w:szCs w:val="18"/>
          <w:color w:val="auto"/>
        </w:rPr>
        <w:t>Like other companies in our industry, we, and our third party vendors, have experienced threats and cybersecurity incidents relating to our information technology systems and infrastructure. Cybersecurity incidents and data breaches have been increasing in frequency, levels of persistence, sophistication and intensity, and can include unauthorized activity by our employees, contractors and other third parties, as well as by third parties who use cyberattack techniques involving malware, ransomeware, hacking and social engineering fraud (including phishing attacks) and business email compromises, among others. Additionally, the risk of data breaches, cybersecurity incidents, cyber-attacks or other security events may be heightened as a result of new technologies, including artificial intelligence, and an increase in the number of employees who adopted a remote working environment, which may be less secure and more susceptible to hacking attacks or other security compromises or breaches. Our information technology systems and infrastructure, and those of our partners, vendors, CROs, CMOs or other contractors or consultants are also vulnerable to intentional or inadvertent wrongful conduct by employees and vendors, natural disasters, terrorism, war, telecommunication and electrical failures and the types of interruption, compromise and damage described above. Any such compromise or disruption, no matter the origin, may cause an interruption of our operations. For instance, the loss or misappropriation of preclinical data or data from any clinical trial involving our drug candidates could result in delays in our development and regulatory filing efforts and significantly increase our costs. In addition, the loss, corruption or unauthorized disclosure or misuse of our trade secrets, personal data or other confidential and/or proprietary or sensitive information could compromise the commercial viability of one or more of our programs, which would negatively affect our business. Also, the costs to us to investigate, mitigate and remediate cybersecurity incidents or compromises and comply with applicable legal obligations, including breach notification obligations to individuals, regulators, partners and others, could be significant and our reputation could be materially damaged. We could also be exposed to litigation or regulatory investigations or actions by state and federal governmental authorities and non-U.S. authorities, including fines, penalties, and other legal and financial exposure and liabilities.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breach.</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Our business is subject to numerous international, federal, state, and other governmental laws, rules, and regulations that may adversely affect our operating results, including, taxation and tax policy changes, tax rate changes, new tax laws, or revised tax law interpretations, which individually or in combination may cause our effective tax rate to increase. In the U.S., the rules dealing with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such changes have been made and changes are likely to continue to occur in the future. Future changes in tax laws could have a material adverse effect on our business, cash flow, financial condition or results of operations.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may negatively affect us and may magnify certain risks that affect our business.</w:t>
      </w:r>
    </w:p>
    <w:p>
      <w:pPr>
        <w:spacing w:after="0" w:line="189"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Our operations and performance may be affected by global economic and political conditions. The global economy has recently experienced volatility and disruptions. Adverse macroeconomic conditions, including inflation, economic recession, volatility in the financial markets, supply chain shortages, changes to fiscal and monetary policy or government budget dynamics, promulgations of new executive orders under the Trump administration, and other challenges in the global economy may adversely affect our business and those of our partners. Our operations and performance (or the operations and performance of our partners and service providers) may be negatively affected by war, political or civil unrest or military action, terrorist activity, and unstable governments and legal systems. Sanctions imposed by the U.S., EU and other countries in response to the conflict between Russia and Ukraine and the potential response to such sanctions may have an adverse impact on our business, including our clinical trials, the financial markets and the global economy. Conflicts in Israel, Gaza, Iran and the Middle East may lead to further sanctions, retaliatory attacks, market volatility and uncertainty, any of which could have a material adverse effect on our business.</w:t>
      </w:r>
    </w:p>
    <w:p>
      <w:pPr>
        <w:spacing w:after="0" w:line="148"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As a result of global economic and political conditions, some third-party payers may delay or be unable to satisfy their reimbursement obligations. Job losses or other economic hardships may also affect patients’ ability to afford healthcare as a result of increased co-pay or deductible obligations, greater cost sensitivity to existing co-pay or deductible obligations, lost healthcare insurance coverage or for other reasons. Our ability to conduct clinical trials in regions experiencing political or civil unrest could negatively affect clinical trial enrollment or the timely completion of a clinical trial. We believe the aforementioned economic conditions have led and could continue to lead to reduced demand for our and our collaboration partners’ drug products, which could have a material adverse effect on our product sales, business and results of operations.</w:t>
      </w:r>
    </w:p>
    <w:p>
      <w:pPr>
        <w:spacing w:after="0" w:line="160"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Further, with rising international trade tensions or sanctions, our business may be adversely affected following new or increased tariffs. On April 2, 2025, the United States announced a 10% tariff on all foreign goods and individualized higher reciprocal tariffs on goods imported from certain countries. On April 9, 2025, the Trump administration announced a pause on the individualized reciprocal tariffs on all countries, except for China, for 90 days. On July 7, 2025, two days before the expiration of the announced pause, the President signed an executive order that certain tariff rates would expire on August 1, 2025. Tariffs could result in increased global clinical trial costs as a result of international transportation of clinical drug supplies, as well as the costs of materials and products imported into the U.S. Tariffs, trade restrictions or sanctions imposed by the U.S. or other countries could increase the prices of our and our collaboration partners’ drug products, affect our and our collaboration partners’ ability to commercialize such drug products, or create adverse tax consequences in the U.S. or other countries. As a result, changes in international trade policy, changes in trade agreements and the imposition of tariffs or sanctions by the U.S. or other countries could materially adversely affect our results of operations and financial condition.</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sustainability matters.</w:t>
      </w:r>
    </w:p>
    <w:p>
      <w:pPr>
        <w:spacing w:after="0" w:line="202"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There is an increased focus from certain investors, employees, and other stakeholders concerning corporate citizenship and sustainability matters, which include environmental concerns and social investments. We could fail to meet, or be perceived to fail to meet, the expectations of these certain investors, employees and other stakeholders concerning corporate citizenship and sustainability matters, thereby resulting in a negative impact to our business.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natural disasters or other catastrophic events strike, our business may be harmed.</w:t>
      </w:r>
    </w:p>
    <w:p>
      <w:pPr>
        <w:spacing w:after="0" w:line="18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Our corporate headquarters, where the majority of our operations are based, are located in the San Francisco Bay Area, a region known for seismic activity and a potential terrorist target. In the event of an earthquake or other natural disaster, catastrophic event caused by climate change, political instability, civil unrest, or terrorist event in the region, our business operations would be significantly disrupted and our financial condition would be harmed. Our collaboration partners and important vendors and suppliers to us or our collaboration partners may also be subject to catastrophic events, such as earthquakes, floods, wild fires, hurricanes, tornadoes and pandemics any of which could harm our business (including, for example, by disrupting supply chains important to the success of our business), results of operations and financial condition. We have not undertaken a systematic analysis of the potential consequences to our business, results of operations and</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financial condition from a major earthquake or other catastrophic event, such as a fire, sustained loss of power, terrorist activity or other disaster, and do not have a recovery plan for such disasters. In addition, our insurance coverage may not be sufficient to compensate us for actual losses from any interruption of our business that may occur.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 Risk Management and Strategy</w:t>
      </w:r>
    </w:p>
    <w:p>
      <w:pPr>
        <w:spacing w:after="0" w:line="189"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The Company, under the oversight of the audit committee of the board of directors, has implemented and maintains an enterprise risk management process, which includes periodic assessments of various risk categories, including cyber risks, across the Company. Our process for assessing, identifying, and managing risks from cybersecurity threats is informed by industry standards and supported by cybersecurity technologies, including third-party security solutions, monitoring, and alerting tools, designed to monitor, identify, and address cybersecurity risks.</w:t>
      </w:r>
    </w:p>
    <w:p>
      <w:pPr>
        <w:spacing w:after="0" w:line="139"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We leverage a managed security service provider and also engage with other third-party providers and consultants to support our cyber risk management efforts, including through periodic security testing. We have a process to assess and review the cybersecurity practices of information technology third-party vendors and service providers, including through review of applicable certifications, security reports, and vendor questionnaires and contractual requirements, as appropriate.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Related to Cybersecurity Risks</w:t>
      </w:r>
    </w:p>
    <w:p>
      <w:pPr>
        <w:spacing w:after="0" w:line="189" w:lineRule="exact"/>
        <w:rPr>
          <w:sz w:val="20"/>
          <w:szCs w:val="20"/>
          <w:color w:val="auto"/>
        </w:rPr>
      </w:pPr>
    </w:p>
    <w:p>
      <w:pPr>
        <w:jc w:val="both"/>
        <w:ind w:right="220" w:firstLine="644"/>
        <w:spacing w:after="0" w:line="266" w:lineRule="auto"/>
        <w:rPr>
          <w:sz w:val="20"/>
          <w:szCs w:val="20"/>
          <w:color w:val="auto"/>
        </w:rPr>
      </w:pPr>
      <w:r>
        <w:rPr>
          <w:rFonts w:ascii="Times New Roman" w:cs="Times New Roman" w:eastAsia="Times New Roman" w:hAnsi="Times New Roman"/>
          <w:sz w:val="18"/>
          <w:szCs w:val="18"/>
          <w:color w:val="auto"/>
        </w:rPr>
        <w:t>Our cyber risk management program and related operations and processes are directed by the Head of IT in consultation with the legal team and our third-party security advisor. Currently, the Head of IT role is held by an individual who has over 20 years of information technology experience. The Head of IT reports to the Chief People Officer.</w:t>
      </w:r>
    </w:p>
    <w:p>
      <w:pPr>
        <w:spacing w:after="0" w:line="135"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The Head of IT meets with the Chief People Officer and the legal team to periodically to discuss and review our cybersecurity risk management processes and to address matters related to potential cybersecurity and information technology risks, with input from the Company’s third-party technology providers, as appropriate. In addition, the Head of IT has regular meetings with our managed security service provider to inform our cyber risk management processes and reporting to management. The Head of IT, working with the Chief People Officer and the legal team, provides periodic reports on cybersecurity and information technology matters to the audit committee, which is responsible for reviewing and overseeing the Company’s risk management process, including cybersecurity risks.</w:t>
      </w:r>
    </w:p>
    <w:p>
      <w:pPr>
        <w:spacing w:after="0" w:line="160"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The Chief People Officer and the legal team along with the audit committee periodically report on cybersecurity risk management to the full board of directors. The board of directors, as a whole and through its committees, has responsibility for the periodic review and oversight of information technology risks, including cybersecurity risks.</w:t>
      </w:r>
    </w:p>
    <w:p>
      <w:pPr>
        <w:spacing w:after="0" w:line="135"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Our enterprise risk management program is overseen by a risk management committee comprised of senior managers across key functional areas that cover cybersecurity and information technology matters. This committee provides periodic reports and updates, as needed, to the board of directors or one of its designated committees. In collecting information on enterprise risk, cybersecurity is included as a designated risk category, and the results of our enterprise risk assessment processes, including risks related to cybersecurity, are also discussed with the audit committee and among senior management on a periodic basis.</w:t>
      </w:r>
    </w:p>
    <w:p>
      <w:pPr>
        <w:spacing w:after="0" w:line="143" w:lineRule="exact"/>
        <w:rPr>
          <w:sz w:val="20"/>
          <w:szCs w:val="20"/>
          <w:color w:val="auto"/>
        </w:rPr>
      </w:pPr>
    </w:p>
    <w:p>
      <w:pPr>
        <w:ind w:right="500" w:firstLine="644"/>
        <w:spacing w:after="0" w:line="266" w:lineRule="auto"/>
        <w:rPr>
          <w:sz w:val="20"/>
          <w:szCs w:val="20"/>
          <w:color w:val="auto"/>
        </w:rPr>
      </w:pPr>
      <w:r>
        <w:rPr>
          <w:rFonts w:ascii="Times New Roman" w:cs="Times New Roman" w:eastAsia="Times New Roman" w:hAnsi="Times New Roman"/>
          <w:sz w:val="18"/>
          <w:szCs w:val="18"/>
          <w:color w:val="auto"/>
        </w:rPr>
        <w:t>We have not identified any cybersecurity incidents or threats that have materially affected us or are reasonably likely to materially affect us, including our business strategy, results of operations, or financial condition. For more information regarding cybersecurity risks that may affect or Company, see “Item 1A. Risk Factors” included in this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189"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We lease a 155,215 square foot facility in the Mission Bay Area of San Francisco, California (Mission Bay Facility), under an operating lease which expires in January 2030. The Mission Bay Facility is our corporate headquarters. We also lease 135,936 square feet of office space in San Francisco (the Third Street Facility), under an operating lease which expires in January 2030.</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In connection with our 2022 and 2023 Restructuring Plans, we have consolidated our San Francisco operations in our Mission Bay Facility, and we have vacated our Third Street Facility and certain laboratory and office spaces at our Mission Bay Facility. We have sublet approximately 29,000 square feet of office and laboratory space in our Mission Bay Facility and are seeking to sublease all of the remaining spaces in both Facilities.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Alabama</w:t>
      </w:r>
    </w:p>
    <w:p>
      <w:pPr>
        <w:spacing w:after="0" w:line="189"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We previously owned facilities consisting of approximately 124,000 square feet in Huntsville, Alabama, which housed laboratories as well as administrative, clinical and commercial manufacturing facilities for our PEGylation and advanced polymer conjugate technology operations as well as manufacturing of APIs for early clinical studies. These facilities were sold to Gannet BioChem, an affiliate of Ampersand Management LLC d/b/a Ampersand Capital Partners via the Asset Purchase Agreement on December 2,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right="180" w:firstLine="644"/>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legal proceedings. We are not currently a party to or aware of any proceedings that we believe will have, individually or in the aggregate, a material adverse effect on our business, financial condition or results of operations.</w:t>
      </w:r>
    </w:p>
    <w:p>
      <w:pPr>
        <w:spacing w:after="0" w:line="117" w:lineRule="exact"/>
        <w:rPr>
          <w:sz w:val="20"/>
          <w:szCs w:val="20"/>
          <w:color w:val="auto"/>
        </w:rPr>
      </w:pPr>
    </w:p>
    <w:p>
      <w:pPr>
        <w:jc w:val="center"/>
        <w:ind w:right="858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jc w:val="center"/>
        <w:ind w:right="86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7" w:right="5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trades on The NASDAQ Capital Market under the symbol “NKTR.”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11, 2026, there were approximately 130 holders of record of our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jc w:val="both"/>
        <w:ind w:right="580" w:firstLine="644"/>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expect to retain all available funds and any future earnings, if any, for use in the operation and expansion of our business and do not anticipate paying any cash dividends on our common stock in the foreseeable future.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sales of unregistered securities and there were no common stock repurchases made during the year ended December 31,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Information regarding our equity compensation plans as of December 31, 2025 is disclosed in Item 12 “Security Ownership of Certain Beneficial Owners and Management and Related Stockholder Matters” of this Annual Report on Form 10-K and is incorporated herein by reference from our proxy statement for our 2026 annual meeting of stockholders to be filed with the SEC pursuant to Regulation 14A not later than 120 days after the end of the fiscal year covered by this Annual Report on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Measurement Comparison</w:t>
      </w:r>
    </w:p>
    <w:p>
      <w:pPr>
        <w:spacing w:after="0" w:line="202"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The material in this section is being furnished and shall not be deemed “filed” with the SEC for purposes of Section 18 of the Exchange Act or otherwise subject to the liability of that section, nor shall the material in this section be deemed to be incorporated by reference in any registration statement or other document filed with the SEC under the Securities Act or the Exchange Act, except as otherwise expressly stated in such filing.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The following graph compares, for the five year period ended December 31, 2025, the cumulative total stockholder return (change in stock price plus reinvested dividends) of our common stock with (i) the NASDAQ Composite Index, (ii) the NASDAQ Biotechnology Index and (iii) the RDG SmallCap Biotechnology Index. Measurement points are the last trading day of each of our fiscal years ended December 31, 2020, December 31, 2021, December 31, 2022, December 31, 2023 and December 31, 2024. The graph assumes that $100 was invested on December 31, 2020 in the common stock of the Company, the NASDAQ Composite Index, the NASDAQ Biotechnology Index and the RDG SmallCap Biotechnology Index and assumes reinvestment of any dividends. The stock price performance in the graph is not intended to forecast or indicate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-5715</wp:posOffset>
            </wp:positionV>
            <wp:extent cx="5229225" cy="3789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29225"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ind w:right="100" w:firstLine="64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contains forward-looking statements that involve risks and uncertainties. Our actual results could differ materially from those discussed here. Factors that could cause or contribute to such differences include, but are not limited to, those discussed in this section as well as factors described in “Part I, Item 1A — Risk Factors.”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Direction of Our Business</w:t>
      </w:r>
    </w:p>
    <w:p>
      <w:pPr>
        <w:spacing w:after="0" w:line="189"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Nektar Therapeutics is a clinical stage, research-based drug discovery biopharmaceutical company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We apply our deep understanding of immunology to identify and create innovative drug candidates and use our drug development expertise to advance these molecules through preclinical and clinical development. Our pipeline of clinical-stage and preclinical-stage immunomodulatory agents targets the treatment of autoimmune diseases (e.g., rezpegaldesleukin and NKTR-0165, respectively) and cancer (e.g., NKTR-255). We continue to make significant investments in building and advancing our pipeline of drug candidates as we believe that this is the best strategy to build long-term shareholder value.</w:t>
      </w:r>
    </w:p>
    <w:p>
      <w:pPr>
        <w:spacing w:after="0" w:line="162"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Autoimmune and inflammatory diseases cause the immune system to mistakenly attack and damage healthy cells in a person’s body. A failure of the body’s self-tolerance mechanisms enables the formation of the pathogenic T lymphocytes that conduct this attack. Our drug candidate rezpegaldesleukin is a potential first-in-class resolution therapeutic that may address this underlying immune system imbalance in people with autoimmune disorders and inflammatory diseases. It is designed to target the interleukin-2 (IL-2) receptor complex in the body in order to stimulate proliferation of powerful inhibitory immune cells known as regulatory T cells (Treg cells). Describing the critical role of Treg cells in maintaining balance in the immune system earned Drs. Mary E. Brunkow, Fred Ramsdell and Shimon Sakaguchi, the Nobel Prize in medicine on October 6, 2025. By activating these Treg cells, rezpegaldesleukin may act to bring the immune system back into balance. Rezpegaldesleukin is being developed as a once or twice monthly self-administered injection for a number of autoimmune disorders and inflammatory diseases.</w:t>
      </w:r>
    </w:p>
    <w:p>
      <w:pPr>
        <w:spacing w:after="0" w:line="151"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In late October 2023, we initiated a Phase 2b clinical study of rezpegaldesleukin in patients with moderate-to-severe atopic dermatitis (the Phase 2b RESOLVE-AD trial). On February 11, 2025, we announced that the FDA had granted Fast Track designation for rezpegaldesleukin for the treatment of adult and pediatric patients 12 years of age and older with moderate-to-severe atopic dermatitis whose disease is not adequately controlled with topical prescription therapies or when those therapies are not advisable. In March 2024, we initiated a Phase 2b clinical study in patients with severe-to-very severe alopecia areata (the Phase 2b RESOLVE-AA trial). On July 29, 2025, we announced that the FDA had granted Fast Track designation for rezpegaldesleukin for the treatment of severe-to-very severe alopecia areata in adult and pediatric patients 12 years of age and older who weigh at least 40 kg. On February 24, 2025, we announced that we had entered into a collaboration agreement with TrialNet to evaluate rezpegaldesleukin in patients with new onset stage 3 type 1 diabetes mellitus in a Phase 2 study. TrialNet will conduct the study with funding from the National Institutes of Health, primarily through the Special Statutory Funding Program for Type 1 Diabetes through the National Institute of Diabetes and Digestive and Kidney Diseases. Nektar will supply rezpegaldesleukin for the study and will retain all rights to the rezpegaldesleukin program under the collaboration.</w:t>
      </w:r>
    </w:p>
    <w:p>
      <w:pPr>
        <w:spacing w:after="0" w:line="154" w:lineRule="exact"/>
        <w:rPr>
          <w:sz w:val="20"/>
          <w:szCs w:val="20"/>
          <w:color w:val="auto"/>
        </w:rPr>
      </w:pPr>
    </w:p>
    <w:p>
      <w:pPr>
        <w:ind w:right="20" w:firstLine="644"/>
        <w:spacing w:after="0" w:line="255" w:lineRule="auto"/>
        <w:rPr>
          <w:sz w:val="20"/>
          <w:szCs w:val="20"/>
          <w:color w:val="auto"/>
        </w:rPr>
      </w:pPr>
      <w:r>
        <w:rPr>
          <w:rFonts w:ascii="Times New Roman" w:cs="Times New Roman" w:eastAsia="Times New Roman" w:hAnsi="Times New Roman"/>
          <w:sz w:val="18"/>
          <w:szCs w:val="18"/>
          <w:color w:val="auto"/>
        </w:rPr>
        <w:t>On June 24, 2025, we announced statistically significant data from the 16-week induction period of the ongoing Phase 2b REZOLVE-AD trial being conducted in 393 patients. In the trial, patients were randomized (3:3:3:2) to receive subcutaneous treatment with one of three doses of rezpegaldesleukin: a high dose of 24 µg/kg every two weeks (q2w), a middle dose of 18 µg/kg q2w, and a low dose of 24 µg/kg every four weeks (q4w), or placebo q2w. The primary endpoint and secondary endpoints were assessed at week 16. Following the 16-week induction period, rezpegaldesleukin-treated patients who achieved Eczema Area and Severity Score (EASI) percent score reductions of &gt;50 were re-randomized (1:1) to continue at the same dose level on a q4w or q12w regimen through week 52 in a blinded maintenance period. Placebo patients with EASI percent score reductions of &gt;50 percent continue to receive placebo q4w.</w:t>
      </w:r>
    </w:p>
    <w:p>
      <w:pPr>
        <w:spacing w:after="0" w:line="162"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As announced on June 24, 2025, the Phase 2b REZOLVE-AD trial met its primary endpoint of the mean improvement in EASI from baseline at week 16 for all three dose arms of rezpegaldesleukin versus placebo (p&lt;0.001). All three dose arms also achieved statistical significance at week 16 for the key secondary endpoints of EASI-75 (percent of patients who achieve ≥75% reduction in EASI from baseline), EASI-50 (percent of patients who achieve ≥50% reduction in EASI from baseline) and BSA (mean percent improvement in Body Surface Area score from baseline). The q2w arms of rezpegaldesleukin (high and middle doses) achieved statistical significance at week 16 for the key secondary endpoints of vIGA-AD 0/1 (percent of patients achieving a score of 0 or 1 on the validated Investigator’s Global Assessment for Atopic</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Dermatitis with ≥ 2-point reduction from baseline) and Itch NRS (percent of patients with baseline ≥ 4 who experienced a ≥ 4-point reduction in the Itch Numerical Rating Score from baseline). In addition, at week 16, the high dose of 24 µg/kg q2w achieved statistical significance on EASI-90 (percent of patients who achieve ≥ 90% reduction in EASI from baseline). When evaluating EASI-75 and EASI-90 by disease severity using baseline vIGA-AD score, similar responses were observed in severe patients (baseline vIGA-AD of 4) as in moderate patients (baseline vIGA-AD of 3).</w:t>
      </w:r>
    </w:p>
    <w:p>
      <w:pPr>
        <w:spacing w:after="0" w:line="153"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In addition, the safety profile for the 16-week induction period for rezpegaldesleukin in the Phase 2b REZOLVE-AD trial was consistent with previously reported results. The most common treatment-emergent adverse events (TEAEs) were local injection site reactions (ISRs), observed in 69.7% of all rezpegaldesleukin-treated patients, with the largest proportion of these being mild or moderate (99.6%). ISRs were self-resolving and &lt;1% of patients discontinued because of an ISR. Across all rezpegaldesleukin doses administered in the study over the 16-week induction period, 55.9% had no reports of ISRs, 30.1% had mild reports, 13.8% had moderate reports, and only 0.2% were severe. Other TEAEs more commonly observed (&gt;5%) in the study treatment arms (n=320) versus placebo (n=73) include eosinophilia (7.8% vs. 2.7%), pyrexia (6.3% vs 2.7%), headache (6.3% vs. 4.1%) and arthralgia (5.0% vs 1.4%). In the pooled rezpegaldesleukin arms, TEAEs, excluding ISRs, were reported in 60.3% of patients and in 57.5% of placebo-treated patients. There was no increased risk of conjunctivitis, oral ulcers, or infections, including oral herpes, in the rezpegaldesleukin arms.</w:t>
      </w:r>
    </w:p>
    <w:p>
      <w:pPr>
        <w:spacing w:after="0" w:line="151" w:lineRule="exact"/>
        <w:rPr>
          <w:sz w:val="20"/>
          <w:szCs w:val="20"/>
          <w:color w:val="auto"/>
        </w:rPr>
      </w:pPr>
    </w:p>
    <w:p>
      <w:pPr>
        <w:ind w:right="40" w:firstLine="644"/>
        <w:spacing w:after="0" w:line="258" w:lineRule="auto"/>
        <w:rPr>
          <w:sz w:val="20"/>
          <w:szCs w:val="20"/>
          <w:color w:val="auto"/>
        </w:rPr>
      </w:pPr>
      <w:r>
        <w:rPr>
          <w:rFonts w:ascii="Times New Roman" w:cs="Times New Roman" w:eastAsia="Times New Roman" w:hAnsi="Times New Roman"/>
          <w:sz w:val="18"/>
          <w:szCs w:val="18"/>
          <w:color w:val="auto"/>
        </w:rPr>
        <w:t>On September 18, 2025, we presented new data from the Phase 2b REZOLVE-AD trial at the European Academy of Dermatology and Venereology (EADV) 2025 Congress. Building on previously presented data, these data demonstrated that high dose rezpegaldesleukin achieved statistical significance on multiple patient-reported outcome assessments at completion of the 16-week induction period. Additionally, as observed interim data for patients who previously received placebo during the induction period and crossed over to receive 24 weeks of treatment with high dose rezpegaldesleukin had increased EASI-75 and vIGA-AD efficacy with extended dosing beyond week 16.</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February 10, 2026, we announced data from the blinded 36-week maintenance period of the Phase 2b REZOLVE-AD trial. Rezpegaldesleukin demonstrated long-term durability and continued atopic dermatitis disease symptom improvement during the maintenance period. Q4w and q12w dosing regimens resulted in sustained disease control for EASI-75, EASI-90, vIGA-AD response, and Itch NRS response, with the 24 µg/kg q4w and q12w regimens showing the highest maintenance of response at week 52. 71% and 83% of patients maintained EASI-75 responses and 85% and 63% maintained vIGA-AD 0/1 responses with 24 µg/kg qw4 and q12w dosing, respectively, at week 52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meaningful proportion of patients achieved new EASI-75, EASI-90, Itch NRS and vIGA-AD 0/1 responses at week 52 of the study. A two to five fold increase in percentage of patients who achieved EASI-100 was observed in the 24 µg/kg q4w and q12w dosing regimens. Among all re-randomized patients from week 16 to week 52, q4w maintenance dosing increased EASI-100 response from 4% to 22% and q12w dosing increased EASI-100 response from 9% to 18%. Among re-randomized patients who had an EASI-75 or vIGA-AD response at maintenance baseline, q4w dosing increased EASI-100 response from 6% to 30% and q12w dosing increased EASI-100 response from 14% to 27%.</w:t>
      </w:r>
    </w:p>
    <w:p>
      <w:pPr>
        <w:spacing w:after="0" w:line="194"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safety profile of rezpegaldesleukin in maintenance was consistent with observations from the induction part of the study. Rezpegaldesleukin was well-tolerated with no new safety concerns identified during the maintenance and escape periods. The discontinuation rate due to adverse events was 3.5% for all aggregated patients. Overall rates of TEAEs were 72% for rezpegaldesleukin treated patients, 65% for placebo patients in maintenance, and 83% for all escape patients. The most frequent TEAE was injection site reactions, nearly all of which were mild (77%), and which occurred at a lower rate and frequency than observed in the initial induction part of the study (discontinuation rate due to injection site reactions was 0.7%).</w:t>
      </w:r>
    </w:p>
    <w:p>
      <w:pPr>
        <w:spacing w:after="0" w:line="143"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On December 16, 2025, we announced topline results from the 36-week induction treatment period of the ongoing Phase 2b REZOLVE-AA study being conducted in 92 patients with severe-to-very-severe alopecia areata. Patients were randomized (3:3:2) to receive one of two rezpegaldesleukin doses (24 µg/kg or 18 µg/kg) or placebo, administered as a subcutaneous injection twice monthly. The primary endpoint was the mean percentage reduction from baseline in the Severity of Alopecia Tool (SALT) score at week 36. Following 36 weeks, patients who demonstrated hair growth but had not yet reached SALT</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20 had the option to continue for an additional 16 weeks of treatment through week 52 in a blinded extension period. Primary and secondary endpoints were assessed at the end of the 36-week induction treatment period.</w:t>
      </w:r>
    </w:p>
    <w:p>
      <w:pPr>
        <w:spacing w:after="0" w:line="160" w:lineRule="exact"/>
        <w:rPr>
          <w:sz w:val="20"/>
          <w:szCs w:val="20"/>
          <w:color w:val="auto"/>
        </w:rPr>
      </w:pPr>
    </w:p>
    <w:p>
      <w:pPr>
        <w:ind w:firstLine="644"/>
        <w:spacing w:after="0" w:line="244" w:lineRule="auto"/>
        <w:rPr>
          <w:sz w:val="20"/>
          <w:szCs w:val="20"/>
          <w:color w:val="auto"/>
        </w:rPr>
      </w:pPr>
      <w:r>
        <w:rPr>
          <w:rFonts w:ascii="Times New Roman" w:cs="Times New Roman" w:eastAsia="Times New Roman" w:hAnsi="Times New Roman"/>
          <w:sz w:val="18"/>
          <w:szCs w:val="18"/>
          <w:color w:val="auto"/>
        </w:rPr>
        <w:t>Both rezpegaldesleukin dose arms more than doubled the SALT score reduction treatment effect observed with placebo, with the majority of patients experiencing hair growth at week 16 or later. A mean percent SALT reduction at week 36 of 28.2% for the 24 µg/kg rezpegaldesleukin arm, 30.3% for the 18 µg/kg rezpegaldesleukin arm, and 11.2% for placebo (p=0.186 and p=0.121, respectively) was observed. At all timepoints, the rezpegaldesleukin treatment arms separated from placebo in the study. Both rezpegaldesleukin treatment arms showed a dose dependent clinical treatment effect as compared to placebo on the key secondary endpoints of SALT ≤30, SALT≤20 and SALT≤10 and SALT</w:t>
      </w:r>
      <w:r>
        <w:rPr>
          <w:rFonts w:ascii="Times New Roman" w:cs="Times New Roman" w:eastAsia="Times New Roman" w:hAnsi="Times New Roman"/>
          <w:sz w:val="24"/>
          <w:szCs w:val="24"/>
          <w:color w:val="auto"/>
          <w:vertAlign w:val="subscript"/>
        </w:rPr>
        <w:t>30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Four of 92 patients included in the modified intent-to-treat (mITT) analysis were found to have study eligibility violations that should have disqualified them for randomization into the trial. Both rezpegaldesleukin treatment arms met statistical significance on the primary endpoint when excluding the four patients with major study eligibility violations. At week 36, the mean percent SALT reduction was 29.6% for 24 µg/kg, 30.4% for 18 µg/kg, and 5.7% for placebo (p=0.049 and p=0.042, respectively). Importantly, the absolute treatment effect for the rezpegaldesleukin arms was similar with or without the exclusion of eligibility violations. One patient in the placebo arm with an eligibility violation accounted for the 5.5% difference in the performance of the placebo arm.</w:t>
      </w:r>
    </w:p>
    <w:p>
      <w:pPr>
        <w:spacing w:after="0" w:line="160"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Consistent with prior studies, a favorable safety and tolerability profile was observed, with nearly all TEAEs mild-to-moderate in severity and self-resolving, even in patients receiving 52 weeks of treatment. The discontinuation rate due to adverse events was 1.4% in the combined rezpegaldesleukin treatment arms. No patients discontinued treatment due to an ISR. The placebo adjusted-ISR rate was consistent with prior studies, with 87.0% of ISRs reported as mild. There was no increased risk of major adverse cardiovascular events, thrombosis, infection, acne or oral herpes for REZPEG-exposed patients, compared to placebo.</w:t>
      </w:r>
    </w:p>
    <w:p>
      <w:pPr>
        <w:spacing w:after="0" w:line="143"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continue to advance our most promising research drug candidates into preclinical development with the objective of advancing these early-stage research programs to human clinical studies over the next several years. Our lead research program is based on tumor necrosis factor (TNF) receptor type II (TNFR2) agonism, without modulation of the TNFR1 signaling, after we exercised an option in December 2023 to gain an exclusive license to specified agonistic antibodies and other materials that were developed pursuant to a research collaboration and license option agreement we entered into with Biolojic Design, Ltd. in 2021. TNFR2 signaling drives immunoregulatory function and can provide a direct protective effect for tissue cells. TNFR2 is highly expressed on Tregs, neuronal cells and endothelial cells and has been shown to potentiate the suppressive effects and overall functional properties of Tregs. NKTR-0165 is being developed for potential treatment of autoimmune diseases, such as ulcerative colitis, multiple sclerosis and vitiligo. We are currently conducting Investigational New Drug (IND) enabling studies for this program. We have also designed a unique bispecific antibody, NKTR-0166, that incorporates the TNFR2 agonist epitope and an antagonist epitope validated in the treatment of rheumatology diseases. As a dual agonist:antagonist of known pathways associated with key pathways linked to disease pathogenesis, this investigational antibody is being developed to address a number of rheumatic disorders.</w:t>
      </w:r>
    </w:p>
    <w:p>
      <w:pPr>
        <w:spacing w:after="0" w:line="151"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In oncology, we focus on developing medicines that target biological pathways that stimulate and sustain the body’s immune response in order to fight cancer. Our drug candidate NKTR-255 is an investigational biologic that is designed to target the IL-15 pathway in order to activate the body’s innate and adaptive immunity. Through optimal engagement of the IL-15 receptor complex, NKTR-255 is designed to enhance functional NK cell populations and formation of long-term immunological memory, which may lead to sustained and durable anti-tumor immune response.</w:t>
      </w:r>
    </w:p>
    <w:p>
      <w:pPr>
        <w:spacing w:after="0" w:line="153"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are continuing select developmental studies of NKTR-255 in combination with cell therapies and checkpoint inhibitors while we evaluate additional strategic partnership pathways for the program. We are continuing our oncology clinical collaboration with Merck KGaA to evaluate the maintenance regimen of NKTR-255 in combination with avelumab, a PD-L1 inhibitor, in patients with locally advanced or metastatic urothelial carcinoma in the Phase II JAVELIN Bladder Medley study. We also have two investigator sponsored studies, one evaluating NKTR-255 following Breyanzi® CD19 CAR-T cell therapy in patients with relapsed/refractory large B-cell lymphoma and one evaluating NKTR-255 in combination with IMFINZI (durvalumab) in patients with unresectable Stage 3 NSCLC who have received chemoradiation.</w:t>
      </w:r>
    </w:p>
    <w:p>
      <w:pPr>
        <w:spacing w:after="0" w:line="147" w:lineRule="exact"/>
        <w:rPr>
          <w:sz w:val="20"/>
          <w:szCs w:val="20"/>
          <w:color w:val="auto"/>
        </w:rPr>
      </w:pPr>
    </w:p>
    <w:p>
      <w:pPr>
        <w:ind w:right="200" w:firstLine="644"/>
        <w:spacing w:after="0" w:line="261" w:lineRule="auto"/>
        <w:rPr>
          <w:sz w:val="20"/>
          <w:szCs w:val="20"/>
          <w:color w:val="auto"/>
        </w:rPr>
      </w:pPr>
      <w:r>
        <w:rPr>
          <w:rFonts w:ascii="Times New Roman" w:cs="Times New Roman" w:eastAsia="Times New Roman" w:hAnsi="Times New Roman"/>
          <w:sz w:val="18"/>
          <w:szCs w:val="18"/>
          <w:color w:val="auto"/>
        </w:rPr>
        <w:t>We have historically derived substantially all of our revenue and significant amounts of research and development operating capital from our collaboration agreements. We have received upfront and milestone payments and cost-sharing reimbursements under a number of previous collaboration agreements, and certain of our collaboration partners have borne substantial costs of developing our drug candidates. We expect we will continue our approach of entering into revenue-generating collaboration agreements to pay in whole or in part the development costs of our drug candidates.</w:t>
      </w:r>
    </w:p>
    <w:p>
      <w:pPr>
        <w:spacing w:after="0" w:line="139" w:lineRule="exact"/>
        <w:rPr>
          <w:sz w:val="20"/>
          <w:szCs w:val="20"/>
          <w:color w:val="auto"/>
        </w:rPr>
      </w:pPr>
    </w:p>
    <w:p>
      <w:pPr>
        <w:ind w:right="60" w:firstLine="644"/>
        <w:spacing w:after="0" w:line="282" w:lineRule="auto"/>
        <w:rPr>
          <w:sz w:val="20"/>
          <w:szCs w:val="20"/>
          <w:color w:val="auto"/>
        </w:rPr>
      </w:pPr>
      <w:r>
        <w:rPr>
          <w:rFonts w:ascii="Times New Roman" w:cs="Times New Roman" w:eastAsia="Times New Roman" w:hAnsi="Times New Roman"/>
          <w:sz w:val="18"/>
          <w:szCs w:val="18"/>
          <w:color w:val="auto"/>
        </w:rPr>
        <w:t>Several of our historical collaboration agreements have resulted in approved drugs, for which we may be entitled to royalties for net sales of these approved drugs. However, we have sold our rights to receive royalties under these arrangements, including:</w:t>
      </w:r>
    </w:p>
    <w:p>
      <w:pPr>
        <w:spacing w:after="0" w:line="142" w:lineRule="exact"/>
        <w:rPr>
          <w:sz w:val="20"/>
          <w:szCs w:val="20"/>
          <w:color w:val="auto"/>
        </w:rPr>
      </w:pPr>
    </w:p>
    <w:p>
      <w:pPr>
        <w:ind w:left="1300" w:right="180" w:hanging="648"/>
        <w:spacing w:after="0" w:line="230"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2012 Purchase and Sale Agreement: In 2012, we sold all of our rights to receive royalties from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Crohn’s disease and other autoimmune indications) and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anemia associated with chronic kidney disease) under our collaborations with UCB Pharma (UCB) and F. Hoffmann-La Roche Ltd, respectively, to RPI Finance Trust (RPI), an affiliate of Royalty Pharma for $124.0 million.</w:t>
      </w:r>
    </w:p>
    <w:p>
      <w:pPr>
        <w:spacing w:after="0" w:line="167" w:lineRule="exact"/>
        <w:rPr>
          <w:rFonts w:ascii="Times New Roman" w:cs="Times New Roman" w:eastAsia="Times New Roman" w:hAnsi="Times New Roman"/>
          <w:sz w:val="18"/>
          <w:szCs w:val="18"/>
          <w:color w:val="auto"/>
        </w:rPr>
      </w:pPr>
    </w:p>
    <w:p>
      <w:pPr>
        <w:ind w:left="1300" w:right="40" w:hanging="648"/>
        <w:spacing w:after="0" w:line="225"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Purchase and Sale Agreement: In December 2020, we sold our rights, subject to a cap, to receive royalties from MOVANTIK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 MOVENTIG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opioid-induced constipation), ADYNOVATE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 ADYNOVI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half-life extension product of Factor VIII) and other hemophilia products,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right="20"/>
        <w:spacing w:after="0" w:line="261" w:lineRule="auto"/>
        <w:rPr>
          <w:sz w:val="20"/>
          <w:szCs w:val="20"/>
          <w:color w:val="auto"/>
        </w:rPr>
      </w:pPr>
      <w:r>
        <w:rPr>
          <w:rFonts w:ascii="Times New Roman" w:cs="Times New Roman" w:eastAsia="Times New Roman" w:hAnsi="Times New Roman"/>
          <w:sz w:val="18"/>
          <w:szCs w:val="18"/>
          <w:color w:val="auto"/>
        </w:rPr>
        <w:t>under our arrangements with AstraZeneca AB, Baxalta, Inc. (a wholly owned-subsidiary of Takeda Pharmaceutical Company Ltd.), and Novo Nordisk A/S, respectively, for $150.0 million to entities managed by Healthcare Royalty Management, LLC (HCR). On March 4, 2024, Nektar and HCR amended the 2020 Purchase and Sale Agreement to remove the cap on the royalties in exchange for $15.0 million. See Note 6 to our Consolidated Financial Statements for additional information.</w:t>
      </w:r>
    </w:p>
    <w:p>
      <w:pPr>
        <w:spacing w:after="0" w:line="153"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We continued to manufacture the polymer reagents used in the production of some of the drug products until the sale of our manufacturing facility in Huntsville, Alabama (the Facility) in December 2024. On December 2, 2024, we completed the sale of the Facility and assigned our manufacturing and supply agreements to Gannet BioChem, an affiliate of Ampersand Management LLC d/b/a Ampersand Capital Partners (Ampersand) for consideration of $64.7 million in cash, net of transaction costs, and an approximate 20% equity interest at the time of close in Gannet BioChem. See Note 11 to our Consolidated Financial Statements for additional information. The sale of the Facility does not alter the royalties or other milestones payable under these agreements or our collaboration agreement with UCB for dapirolizumab pegol as further disclosed in Note 9 to our Consolidated Financial Statements.</w:t>
      </w:r>
    </w:p>
    <w:p>
      <w:pPr>
        <w:spacing w:after="0" w:line="147"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Our business is subject to significant risks, including the risks inherent in our development efforts, the results of our clinical trials, our dependence on the marketing efforts by our collaboration partners, uncertainties associated with obtaining and enforcing patents, the lengthy and expensive regulatory approval process and competition from other products. Drug research and development is an inherently uncertain process with a high risk of failure at every stage prior to approval. The timing and outcome of clinical trial results are extremely difficult to predict. Clinical development successes and failures can have a disproportionately positive or negative impact on our scientific and medical prospects, financial condition and prospects, results of operations and market opportunities. For a discussion of these and some of the other key risks and uncertainties affecting our business, see Item 1A “Risk Factors.”</w:t>
      </w:r>
    </w:p>
    <w:p>
      <w:pPr>
        <w:spacing w:after="0" w:line="147"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With respect to financing our near-term business needs, as set forth below in “Key Developments and Trends in Liquidity and Capital Resources,” we estimate we have working capital to fund our current business plans through at least the next twelve months. At December 31, 2025, we had approximately $245.8 million in cash and investments in marketable securities.</w:t>
      </w:r>
    </w:p>
    <w:p>
      <w:pPr>
        <w:spacing w:after="0" w:line="149" w:lineRule="exact"/>
        <w:rPr>
          <w:sz w:val="20"/>
          <w:szCs w:val="20"/>
          <w:color w:val="auto"/>
        </w:rPr>
      </w:pPr>
    </w:p>
    <w:p>
      <w:pPr>
        <w:ind w:right="280" w:firstLine="644"/>
        <w:spacing w:after="0" w:line="266" w:lineRule="auto"/>
        <w:rPr>
          <w:sz w:val="20"/>
          <w:szCs w:val="20"/>
          <w:color w:val="auto"/>
        </w:rPr>
      </w:pPr>
      <w:r>
        <w:rPr>
          <w:rFonts w:ascii="Times New Roman" w:cs="Times New Roman" w:eastAsia="Times New Roman" w:hAnsi="Times New Roman"/>
          <w:sz w:val="18"/>
          <w:szCs w:val="18"/>
          <w:color w:val="auto"/>
        </w:rPr>
        <w:t>On July 2, 2025, we completed the sale and issuance of 4,893,618 shares of our common stock in an underwritten public offering (the 2025 Offering) at a price of $23.50 per share. The net proceeds to the Company from the 2025 Offering totaled approximately $107.2 million, after deducting underwriting discounts, commissions and offering costs.</w:t>
      </w:r>
    </w:p>
    <w:p>
      <w:pPr>
        <w:spacing w:after="0" w:line="95" w:lineRule="exact"/>
        <w:rPr>
          <w:sz w:val="20"/>
          <w:szCs w:val="20"/>
          <w:color w:val="auto"/>
        </w:rPr>
      </w:pPr>
    </w:p>
    <w:p>
      <w:pPr>
        <w:jc w:val="both"/>
        <w:ind w:right="20" w:firstLine="644"/>
        <w:spacing w:after="0" w:line="258" w:lineRule="auto"/>
        <w:rPr>
          <w:sz w:val="20"/>
          <w:szCs w:val="20"/>
          <w:color w:val="auto"/>
        </w:rPr>
      </w:pPr>
      <w:r>
        <w:rPr>
          <w:rFonts w:ascii="Times New Roman" w:cs="Times New Roman" w:eastAsia="Times New Roman" w:hAnsi="Times New Roman"/>
          <w:sz w:val="18"/>
          <w:szCs w:val="18"/>
          <w:color w:val="auto"/>
        </w:rPr>
        <w:t>We previously entered into an equity distribution agreement (the April 2025 ATM Sales Agreement) with Piper Sandler &amp; Co. and BTIG, LLC to sell shares of our common stock by any method permitted that is deemed to be an “at-the-market” equity offering as defined in Rule 415(a)(4) promulgated under the Securities Act. In September and October 2025, we issued 1,273,923 shares of our common stock under the April 2025 ATM Sales Agreement at a weighted average price of $58.87 per share for net proceeds of $72.5 million after deducting related commissions and offering costs. No April 2025 ATM shares remain available for issuance under the April 2025 ATM Sales Agreement.</w:t>
      </w:r>
    </w:p>
    <w:p>
      <w:pPr>
        <w:spacing w:after="0" w:line="116"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On February 13, 2026, we completed the sale of and issuance of 7,637,931 shares of common stock at a price of $58.00 per share and 293,103 pre-funded warrants at price of $57.9999 per pre-funded warrant in an underwritten public offering (the 2026 Offering). The estimated net proceeds from the 2026 Offering totaled approximately $432.0 million, after deducting underwriting discounts and commissions and estimated offering expenses.</w:t>
      </w:r>
    </w:p>
    <w:p>
      <w:pPr>
        <w:spacing w:after="0" w:line="108" w:lineRule="exact"/>
        <w:rPr>
          <w:sz w:val="20"/>
          <w:szCs w:val="20"/>
          <w:color w:val="auto"/>
        </w:rPr>
      </w:pPr>
    </w:p>
    <w:p>
      <w:pPr>
        <w:ind w:right="280" w:firstLine="644"/>
        <w:spacing w:after="0" w:line="266" w:lineRule="auto"/>
        <w:rPr>
          <w:sz w:val="20"/>
          <w:szCs w:val="20"/>
          <w:color w:val="auto"/>
        </w:rPr>
      </w:pPr>
      <w:r>
        <w:rPr>
          <w:rFonts w:ascii="Times New Roman" w:cs="Times New Roman" w:eastAsia="Times New Roman" w:hAnsi="Times New Roman"/>
          <w:sz w:val="18"/>
          <w:szCs w:val="18"/>
          <w:color w:val="auto"/>
        </w:rPr>
        <w:t>From February 20, 2026 through March 11, 2026, we issued 639,131 shares of our common stock under the November 2025 ATM Sales Agreement at a weighted average price of $71.15 per share for net proceeds of $44.1 million after deducting related commissions of approximately $1.4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results of operations for the years ended December 31, 2025 and 2024 are presented below (in thousands, except percentages).</w:t>
      </w:r>
    </w:p>
    <w:tbl>
      <w:tblPr>
        <w:tblLayout w:type="fixed"/>
        <w:tblInd w:w="0" w:type="dxa"/>
        <w:tblCellMar>
          <w:top w:w="0" w:type="dxa"/>
          <w:left w:w="0" w:type="dxa"/>
          <w:bottom w:w="0" w:type="dxa"/>
          <w:right w:w="0" w:type="dxa"/>
        </w:tblCellMar>
      </w:tblPr>
      <w:tr>
        <w:trPr>
          <w:trHeight w:val="151"/>
        </w:trPr>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00" w:type="dxa"/>
            <w:vAlign w:val="bottom"/>
            <w:gridSpan w:val="5"/>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3"/>
                <w:szCs w:val="13"/>
                <w:color w:val="auto"/>
              </w:rPr>
            </w:pPr>
          </w:p>
        </w:tc>
        <w:tc>
          <w:tcPr>
            <w:tcW w:w="1220" w:type="dxa"/>
            <w:vAlign w:val="bottom"/>
            <w:gridSpan w:val="2"/>
          </w:tcPr>
          <w:p>
            <w:pPr>
              <w:jc w:val="right"/>
              <w:ind w:right="500"/>
              <w:spacing w:after="0" w:line="15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420" w:type="dxa"/>
            <w:vAlign w:val="bottom"/>
            <w:gridSpan w:val="2"/>
          </w:tcPr>
          <w:p>
            <w:pPr>
              <w:jc w:val="right"/>
              <w:ind w:right="500"/>
              <w:spacing w:after="0" w:line="151"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(33,563)</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royalty revenue related to sales of future royalties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64,267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(9,335)</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License, collaboration and other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55,232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(43,195)</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5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(30,686)</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(3,578)</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76,751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(8,078)</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impairment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(6,339)</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sale of the Huntsville manufacturing facility</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(40,390)</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40,390</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195,334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(8,291)</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(140,102)</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(105,198)</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(34,904)</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5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interest expense on liabilities related to sales of future royalties</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(26,184)</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(28,112)</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(4,062)</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(15,385)</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(14,002)</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(1,383)</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benefit for income taxes and equity method investment</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(155,487)</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(119,200)</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(36,287)</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equity method investment</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(155,349)</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(118,961)</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(36,388)</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(8,727)</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(8,727)</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(164,076)</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(118,961)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(45,115)</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-2562225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-2562225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-2562225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-1731010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-1731010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-1731010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-1439545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-1439545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-1439545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-882015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-882015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-882015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2" w:lineRule="exact"/>
        <w:rPr>
          <w:sz w:val="20"/>
          <w:szCs w:val="20"/>
          <w:color w:val="auto"/>
        </w:rPr>
      </w:pPr>
    </w:p>
    <w:p>
      <w:pPr>
        <w:ind w:right="220" w:firstLine="644"/>
        <w:spacing w:after="0" w:line="266" w:lineRule="auto"/>
        <w:rPr>
          <w:sz w:val="20"/>
          <w:szCs w:val="20"/>
          <w:color w:val="auto"/>
        </w:rPr>
      </w:pPr>
      <w:r>
        <w:rPr>
          <w:rFonts w:ascii="Times New Roman" w:cs="Times New Roman" w:eastAsia="Times New Roman" w:hAnsi="Times New Roman"/>
          <w:sz w:val="18"/>
          <w:szCs w:val="18"/>
          <w:color w:val="auto"/>
        </w:rPr>
        <w:t>Our revenue has historically been derived from our collaboration agreements, under which we may receive product sales revenue, royalties, and license fees, as well as development and sales milestones and other contingent payments. We recognize revenue when we transfer promised goods or services to our collaboration partners.</w:t>
      </w:r>
    </w:p>
    <w:p>
      <w:pPr>
        <w:spacing w:after="0" w:line="131" w:lineRule="exact"/>
        <w:rPr>
          <w:sz w:val="20"/>
          <w:szCs w:val="20"/>
          <w:color w:val="auto"/>
        </w:rPr>
      </w:pPr>
    </w:p>
    <w:p>
      <w:pPr>
        <w:ind w:left="1300" w:right="80" w:hanging="648"/>
        <w:spacing w:after="0" w:line="268"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sales and Cost of goods sold: </w:t>
      </w:r>
      <w:r>
        <w:rPr>
          <w:rFonts w:ascii="Times New Roman" w:cs="Times New Roman" w:eastAsia="Times New Roman" w:hAnsi="Times New Roman"/>
          <w:sz w:val="18"/>
          <w:szCs w:val="18"/>
          <w:color w:val="auto"/>
        </w:rPr>
        <w:t>Product sales included predominantly fixed price manufacturing and supply agreements with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partners and were the result of firm purchase orders from those partners. Due to the sale of the Facility in December 2024, we no longer recognize product sales or costs of goods sold under these arrangements in 2025.</w:t>
      </w:r>
    </w:p>
    <w:p>
      <w:pPr>
        <w:spacing w:after="0" w:line="130" w:lineRule="exact"/>
        <w:rPr>
          <w:rFonts w:ascii="Times New Roman" w:cs="Times New Roman" w:eastAsia="Times New Roman" w:hAnsi="Times New Roman"/>
          <w:sz w:val="18"/>
          <w:szCs w:val="18"/>
          <w:color w:val="auto"/>
        </w:rPr>
      </w:pPr>
    </w:p>
    <w:p>
      <w:pPr>
        <w:ind w:left="1300" w:right="100" w:hanging="648"/>
        <w:spacing w:after="0" w:line="257"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Non-cash royalty revenue and Non-cash interest expense: </w:t>
      </w:r>
      <w:r>
        <w:rPr>
          <w:rFonts w:ascii="Times New Roman" w:cs="Times New Roman" w:eastAsia="Times New Roman" w:hAnsi="Times New Roman"/>
          <w:sz w:val="18"/>
          <w:szCs w:val="18"/>
          <w:color w:val="auto"/>
        </w:rPr>
        <w:t>We recognize non-cash royalty revenue and non-cash interest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resulting from royalties on several products for which we had previously sold our rights to receive royalties under the 2012 and 2020 Purchase and Sale Agreements. See Note 6 to our Consolidated Financial Statements for additional information regarding these agreements. These non-cash revenues and expenses have no effect on our cash flows, and we do not consider them material to our operations. We expect non-cash royalty revenue to decrease for 2026 as compared to 2025 due to the end of the royalty terms for several products, and we expect non-cash interest expense to increase slightly as a result of a higher effective interest rate.</w:t>
      </w:r>
    </w:p>
    <w:p>
      <w:pPr>
        <w:spacing w:after="0" w:line="159" w:lineRule="exact"/>
        <w:rPr>
          <w:rFonts w:ascii="Times New Roman" w:cs="Times New Roman" w:eastAsia="Times New Roman" w:hAnsi="Times New Roman"/>
          <w:sz w:val="18"/>
          <w:szCs w:val="18"/>
          <w:color w:val="auto"/>
        </w:rPr>
      </w:pPr>
    </w:p>
    <w:p>
      <w:pPr>
        <w:ind w:left="1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2024, Nektar and HCR amended the 2020 Purchase and Sale Agreement to remove the cap on the royalties in exchange for a $15.0 million payment to Nektar. See Note 6 to our Consolidated Financial Statements for additional information.</w:t>
      </w:r>
    </w:p>
    <w:p>
      <w:pPr>
        <w:spacing w:after="0" w:line="117" w:lineRule="exact"/>
        <w:rPr>
          <w:rFonts w:ascii="Times New Roman" w:cs="Times New Roman" w:eastAsia="Times New Roman" w:hAnsi="Times New Roman"/>
          <w:sz w:val="18"/>
          <w:szCs w:val="18"/>
          <w:color w:val="auto"/>
        </w:rPr>
      </w:pPr>
    </w:p>
    <w:p>
      <w:pPr>
        <w:ind w:left="1300" w:right="80" w:hanging="648"/>
        <w:spacing w:after="0" w:line="25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License, collaboration and other revenue: </w:t>
      </w:r>
      <w:r>
        <w:rPr>
          <w:rFonts w:ascii="Times New Roman" w:cs="Times New Roman" w:eastAsia="Times New Roman" w:hAnsi="Times New Roman"/>
          <w:sz w:val="18"/>
          <w:szCs w:val="18"/>
          <w:color w:val="auto"/>
        </w:rPr>
        <w:t>License, collaboration and other revenue includes the recognition of upfront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milestone and other contingent payments received in connection with our license and collaboration agreements. The amount of revenue depends in part upon the estimated recognition period of the upfront payments allocated to continuing performance obligations, the achievement of milestones and other contingent events, the continuation of existing collaborations, the amount of research and development work, and entering into new collaboration agreements, if any. License, collaboration and other revenue was not material for 2024 or 2025, and, unless we enter into a new collaboration agreement with upfront payments, we do not expect to recognize significant revenue in 2026.</w:t>
      </w:r>
    </w:p>
    <w:p>
      <w:pPr>
        <w:spacing w:after="0" w:line="146" w:lineRule="exact"/>
        <w:rPr>
          <w:rFonts w:ascii="Times New Roman" w:cs="Times New Roman" w:eastAsia="Times New Roman" w:hAnsi="Times New Roman"/>
          <w:sz w:val="18"/>
          <w:szCs w:val="18"/>
          <w:color w:val="auto"/>
        </w:rPr>
      </w:pPr>
    </w:p>
    <w:p>
      <w:pPr>
        <w:ind w:left="128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future success of our drug development programs and those of our collaboration partners are subject to a number of risks and uncertainties. See Item 1A. Risk Factors for discussion of the risks associated with the complex nature of our collaboration agreements.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jc w:val="both"/>
        <w:ind w:right="560" w:firstLine="64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primarily of clinical study costs, contract manufacturing costs, direct costs of outside research, materials, supplies, licenses and fees as well as personnel costs (including salaries, benefits, and non-cash stock-based compensation). Research and development expense also includes certain overhead allocations of support costs.</w:t>
      </w:r>
    </w:p>
    <w:p>
      <w:pPr>
        <w:spacing w:after="0" w:line="135" w:lineRule="exact"/>
        <w:rPr>
          <w:sz w:val="20"/>
          <w:szCs w:val="20"/>
          <w:color w:val="auto"/>
        </w:rPr>
      </w:pPr>
    </w:p>
    <w:p>
      <w:pPr>
        <w:ind w:right="200" w:firstLine="644"/>
        <w:spacing w:after="0" w:line="266" w:lineRule="auto"/>
        <w:rPr>
          <w:sz w:val="20"/>
          <w:szCs w:val="20"/>
          <w:color w:val="auto"/>
        </w:rPr>
      </w:pPr>
      <w:r>
        <w:rPr>
          <w:rFonts w:ascii="Times New Roman" w:cs="Times New Roman" w:eastAsia="Times New Roman" w:hAnsi="Times New Roman"/>
          <w:sz w:val="18"/>
          <w:szCs w:val="18"/>
          <w:color w:val="auto"/>
        </w:rPr>
        <w:t>The following table presents expenses incurred for direct third-party costs, including clinical and regulatory services, contract manufacturing, clinical supplies, and preclinical study support for each of our drug candidates. The table also presents personnel, overhead and other indirect costs as we utilize our employee and infrastructure resources across multiple development and research programs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20" w:type="dxa"/>
            <w:vAlign w:val="bottom"/>
          </w:tcPr>
          <w:p>
            <w:pPr>
              <w:spacing w:after="0"/>
              <w:rPr>
                <w:sz w:val="14"/>
                <w:szCs w:val="14"/>
                <w:color w:val="auto"/>
              </w:rPr>
            </w:pPr>
          </w:p>
        </w:tc>
        <w:tc>
          <w:tcPr>
            <w:tcW w:w="1920" w:type="dxa"/>
            <w:vAlign w:val="bottom"/>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rPr>
              <w:t>Clinical Study</w:t>
            </w:r>
          </w:p>
        </w:tc>
        <w:tc>
          <w:tcPr>
            <w:tcW w:w="300" w:type="dxa"/>
            <w:vAlign w:val="bottom"/>
          </w:tcPr>
          <w:p>
            <w:pPr>
              <w:spacing w:after="0"/>
              <w:rPr>
                <w:sz w:val="14"/>
                <w:szCs w:val="14"/>
                <w:color w:val="auto"/>
              </w:rPr>
            </w:pPr>
          </w:p>
        </w:tc>
        <w:tc>
          <w:tcPr>
            <w:tcW w:w="27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9"/>
        </w:trPr>
        <w:tc>
          <w:tcPr>
            <w:tcW w:w="6320" w:type="dxa"/>
            <w:vAlign w:val="bottom"/>
          </w:tcPr>
          <w:p>
            <w:pPr>
              <w:spacing w:after="0"/>
              <w:rPr>
                <w:sz w:val="12"/>
                <w:szCs w:val="12"/>
                <w:color w:val="auto"/>
              </w:rPr>
            </w:pPr>
          </w:p>
        </w:tc>
        <w:tc>
          <w:tcPr>
            <w:tcW w:w="1920" w:type="dxa"/>
            <w:vAlign w:val="bottom"/>
          </w:tcPr>
          <w:p>
            <w:pPr>
              <w:jc w:val="center"/>
              <w:ind w:left="58"/>
              <w:spacing w:after="0" w:line="149" w:lineRule="exact"/>
              <w:rPr>
                <w:sz w:val="20"/>
                <w:szCs w:val="20"/>
                <w:color w:val="auto"/>
              </w:rPr>
            </w:pPr>
            <w:r>
              <w:rPr>
                <w:rFonts w:ascii="Times New Roman" w:cs="Times New Roman" w:eastAsia="Times New Roman" w:hAnsi="Times New Roman"/>
                <w:sz w:val="12"/>
                <w:szCs w:val="12"/>
                <w:b w:val="1"/>
                <w:bCs w:val="1"/>
                <w:color w:val="auto"/>
              </w:rPr>
              <w:t>Status</w:t>
            </w:r>
            <w:r>
              <w:rPr>
                <w:rFonts w:ascii="Times New Roman" w:cs="Times New Roman" w:eastAsia="Times New Roman" w:hAnsi="Times New Roman"/>
                <w:sz w:val="17"/>
                <w:szCs w:val="17"/>
                <w:b w:val="1"/>
                <w:bCs w:val="1"/>
                <w:color w:val="auto"/>
                <w:vertAlign w:val="superscript"/>
              </w:rPr>
              <w:t>(1)</w:t>
            </w: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2"/>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Rezpegaldesleukin (IL-2 receptor agonist/regulatory T cell agent)</w:t>
            </w:r>
          </w:p>
        </w:tc>
        <w:tc>
          <w:tcPr>
            <w:tcW w:w="1920" w:type="dxa"/>
            <w:vAlign w:val="bottom"/>
            <w:shd w:val="clear" w:color="auto" w:fill="CFF0FC"/>
          </w:tcPr>
          <w:p>
            <w:pPr>
              <w:jc w:val="center"/>
              <w:ind w:left="58"/>
              <w:spacing w:after="0"/>
              <w:rPr>
                <w:sz w:val="20"/>
                <w:szCs w:val="20"/>
                <w:color w:val="auto"/>
              </w:rPr>
            </w:pPr>
            <w:r>
              <w:rPr>
                <w:rFonts w:ascii="Times New Roman" w:cs="Times New Roman" w:eastAsia="Times New Roman" w:hAnsi="Times New Roman"/>
                <w:sz w:val="18"/>
                <w:szCs w:val="18"/>
                <w:color w:val="auto"/>
              </w:rPr>
              <w:t>Phase 2b</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51,531</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49,382</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NKTR-0165 (tumor necrosis factor receptor type II agonist)</w:t>
            </w:r>
          </w:p>
        </w:tc>
        <w:tc>
          <w:tcPr>
            <w:tcW w:w="1920" w:type="dxa"/>
            <w:vAlign w:val="bottom"/>
          </w:tcPr>
          <w:p>
            <w:pPr>
              <w:jc w:val="center"/>
              <w:ind w:left="58"/>
              <w:spacing w:after="0"/>
              <w:rPr>
                <w:sz w:val="20"/>
                <w:szCs w:val="20"/>
                <w:color w:val="auto"/>
              </w:rPr>
            </w:pPr>
            <w:r>
              <w:rPr>
                <w:rFonts w:ascii="Times New Roman" w:cs="Times New Roman" w:eastAsia="Times New Roman" w:hAnsi="Times New Roman"/>
                <w:sz w:val="18"/>
                <w:szCs w:val="18"/>
                <w:color w:val="auto"/>
              </w:rPr>
              <w:t>Preclinical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NKTR-255 (IL-15 receptor agonist)</w:t>
            </w:r>
          </w:p>
        </w:tc>
        <w:tc>
          <w:tcPr>
            <w:tcW w:w="1920" w:type="dxa"/>
            <w:vAlign w:val="bottom"/>
            <w:shd w:val="clear" w:color="auto" w:fill="CFF0FC"/>
          </w:tcPr>
          <w:p>
            <w:pPr>
              <w:jc w:val="center"/>
              <w:ind w:left="58"/>
              <w:spacing w:after="0"/>
              <w:rPr>
                <w:sz w:val="20"/>
                <w:szCs w:val="20"/>
                <w:color w:val="auto"/>
              </w:rPr>
            </w:pPr>
            <w:r>
              <w:rPr>
                <w:rFonts w:ascii="Times New Roman" w:cs="Times New Roman" w:eastAsia="Times New Roman" w:hAnsi="Times New Roman"/>
                <w:sz w:val="18"/>
                <w:szCs w:val="18"/>
                <w:color w:val="auto"/>
              </w:rPr>
              <w:t>Phase 1/2</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Discovery research and other programs</w:t>
            </w:r>
          </w:p>
        </w:tc>
        <w:tc>
          <w:tcPr>
            <w:tcW w:w="1920" w:type="dxa"/>
            <w:vAlign w:val="bottom"/>
          </w:tcPr>
          <w:p>
            <w:pPr>
              <w:jc w:val="center"/>
              <w:ind w:left="58"/>
              <w:spacing w:after="0"/>
              <w:rPr>
                <w:sz w:val="20"/>
                <w:szCs w:val="20"/>
                <w:color w:val="auto"/>
              </w:rPr>
            </w:pPr>
            <w:r>
              <w:rPr>
                <w:rFonts w:ascii="Times New Roman" w:cs="Times New Roman" w:eastAsia="Times New Roman" w:hAnsi="Times New Roman"/>
                <w:sz w:val="18"/>
                <w:szCs w:val="18"/>
                <w:color w:val="auto"/>
              </w:rPr>
              <w:t>Various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18"/>
                <w:szCs w:val="18"/>
                <w:color w:val="auto"/>
              </w:rPr>
            </w:pPr>
          </w:p>
        </w:tc>
      </w:tr>
      <w:tr>
        <w:trPr>
          <w:trHeight w:val="209"/>
        </w:trPr>
        <w:tc>
          <w:tcPr>
            <w:tcW w:w="6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clinical development, contract manufacturing and other third party costs</w:t>
            </w:r>
          </w:p>
        </w:tc>
        <w:tc>
          <w:tcPr>
            <w:tcW w:w="1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69,419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76,850</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Personnel, overhead and other costs</w:t>
            </w: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34,629</w:t>
            </w:r>
          </w:p>
        </w:tc>
        <w:tc>
          <w:tcPr>
            <w:tcW w:w="100" w:type="dxa"/>
            <w:vAlign w:val="bottom"/>
          </w:tcPr>
          <w:p>
            <w:pPr>
              <w:spacing w:after="0"/>
              <w:rPr>
                <w:sz w:val="18"/>
                <w:szCs w:val="18"/>
                <w:color w:val="auto"/>
              </w:rPr>
            </w:pPr>
          </w:p>
        </w:tc>
      </w:tr>
      <w:tr>
        <w:trPr>
          <w:trHeight w:val="216"/>
        </w:trPr>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and depreciation</w:t>
            </w:r>
          </w:p>
        </w:tc>
        <w:tc>
          <w:tcPr>
            <w:tcW w:w="19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9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117,330</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120,908</w:t>
            </w: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480" w:hanging="472"/>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Study Status as of December 31, 2025. Definitions are provided in Part I, 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9030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for rezpegaldesleukin for both periods includes the costs of our Phase 2b RESOLVE-AD and RESOLVE-AA trials. These expenses increased for the full year 2025 as compared to the full year 2024, as we commenced certain activities to support a Phase 3 program in atopic dermatitis in 2025. We expect the costs of development of rezpegaldesleukin for full year 2026 to significantly increase as we initiate a Phase 3 program in atopic dermatitis.</w:t>
      </w:r>
    </w:p>
    <w:p>
      <w:pPr>
        <w:spacing w:after="0" w:line="153"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for NKTR-0165 was consistent for the periods presented, as we are conducting IND enabling activities for this program. We expect the costs of development of NKTR-0165 to decrease for full year 2026 as compared to 2025 as we have completed most of our IND enabling activities. We may owe additional milestone payments to Biolojic Design, Ltd., as further disclosed in Note 9 to our Consolidated Financial Statements.</w:t>
      </w:r>
    </w:p>
    <w:p>
      <w:pPr>
        <w:spacing w:after="0" w:line="139" w:lineRule="exact"/>
        <w:rPr>
          <w:sz w:val="20"/>
          <w:szCs w:val="20"/>
          <w:color w:val="auto"/>
        </w:rPr>
      </w:pPr>
    </w:p>
    <w:p>
      <w:pPr>
        <w:ind w:right="80" w:firstLine="644"/>
        <w:spacing w:after="0" w:line="239" w:lineRule="auto"/>
        <w:rPr>
          <w:sz w:val="20"/>
          <w:szCs w:val="20"/>
          <w:color w:val="auto"/>
        </w:rPr>
      </w:pPr>
      <w:r>
        <w:rPr>
          <w:rFonts w:ascii="Times New Roman" w:cs="Times New Roman" w:eastAsia="Times New Roman" w:hAnsi="Times New Roman"/>
          <w:sz w:val="18"/>
          <w:szCs w:val="18"/>
          <w:color w:val="auto"/>
        </w:rPr>
        <w:t>Research and development expense for NKTR-255 decreased for the full year 2025 as compared to the full year 2024, as we have completed our Phase 2 study to evaluate NKTR-255 following Yescarta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 Breyanzi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CD19 CAR-T cell therapy in patients with large B-cell lymphoma. Our development expense for NKTR-255 for the periods presented include our oncology clinical collaboration with Merck KGaA to evaluate the maintenance regimen of NKTR-255 in combination with avelumab, a PD-L1 inhibitor, in patients with locally advanced or metastatic urothelial carcinoma in the Phase</w:t>
      </w:r>
    </w:p>
    <w:p>
      <w:pPr>
        <w:spacing w:after="0" w:line="3" w:lineRule="exact"/>
        <w:rPr>
          <w:sz w:val="20"/>
          <w:szCs w:val="20"/>
          <w:color w:val="auto"/>
        </w:rPr>
      </w:pPr>
    </w:p>
    <w:p>
      <w:pPr>
        <w:ind w:right="420" w:firstLine="8"/>
        <w:spacing w:after="0" w:line="234" w:lineRule="auto"/>
        <w:tabs>
          <w:tab w:leader="none" w:pos="1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JAVELIN Bladder Medley study, and investigator-sponsored studies, one evaluating NKTR-255 following Breyanzi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CD19 CAR-T cell therapy in patients with relapsed/refractory large B-cell lymphoma and one evaluating NKTR-255 in combination with IMFINZI (durvalumab) in patients with unresectable Stage 3 NSCLC who have received chemoradiation. We expect the costs of development of NKTR-255 to decrease for full year 2026 as compared to full year 2025 as we complete the investigator-sponsored studies.</w:t>
      </w:r>
    </w:p>
    <w:p>
      <w:pPr>
        <w:spacing w:after="0" w:line="160"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Personnel, overhead and other costs increased for the full year 2025 as compared to the full year 2024, for increased personnel costs to support our rezpegaldesleukin program and increases in allocations of overhead costs to research and development expense as we no longer allocate such costs to costs of goods sold following the sale of the Facility. Stock-based compensation expense decreased for the periods presented due to lower valuations on more recent grants as a result of a decrease in our stock price. We expect personnel, overhead and other costs for full year 2026 to increase compared to full year 2025 to support our Phase 3 rezpegaldesleukin program in atopic dermatitis.</w:t>
      </w:r>
    </w:p>
    <w:p>
      <w:pPr>
        <w:spacing w:after="0" w:line="156" w:lineRule="exact"/>
        <w:rPr>
          <w:sz w:val="20"/>
          <w:szCs w:val="20"/>
          <w:color w:val="auto"/>
        </w:rPr>
      </w:pPr>
    </w:p>
    <w:p>
      <w:pPr>
        <w:ind w:right="820" w:firstLine="644"/>
        <w:spacing w:after="0" w:line="282" w:lineRule="auto"/>
        <w:rPr>
          <w:sz w:val="20"/>
          <w:szCs w:val="20"/>
          <w:color w:val="auto"/>
        </w:rPr>
      </w:pPr>
      <w:r>
        <w:rPr>
          <w:rFonts w:ascii="Times New Roman" w:cs="Times New Roman" w:eastAsia="Times New Roman" w:hAnsi="Times New Roman"/>
          <w:sz w:val="18"/>
          <w:szCs w:val="18"/>
          <w:color w:val="auto"/>
        </w:rPr>
        <w:t>We expect total research and development expense to increase significantly for full year 2026 compared to 2025 to support our Phase 3 rezpegaldesleukin program in atopic dermatitis.</w:t>
      </w:r>
    </w:p>
    <w:p>
      <w:pPr>
        <w:spacing w:after="0" w:line="121"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The timing and amount of our future clinical trial expenses will vary significantly based upon our evaluation of ongoing clinical results and the structure, timing, and scope of additional clinical development programs and potential clinical collaboration partnerships (if any) for these programs.</w:t>
      </w:r>
    </w:p>
    <w:p>
      <w:pPr>
        <w:spacing w:after="0" w:line="121" w:lineRule="exact"/>
        <w:rPr>
          <w:sz w:val="20"/>
          <w:szCs w:val="20"/>
          <w:color w:val="auto"/>
        </w:rPr>
      </w:pPr>
    </w:p>
    <w:p>
      <w:pPr>
        <w:ind w:right="200" w:firstLine="644"/>
        <w:spacing w:after="0" w:line="256" w:lineRule="auto"/>
        <w:rPr>
          <w:sz w:val="20"/>
          <w:szCs w:val="20"/>
          <w:color w:val="auto"/>
        </w:rPr>
      </w:pPr>
      <w:r>
        <w:rPr>
          <w:rFonts w:ascii="Times New Roman" w:cs="Times New Roman" w:eastAsia="Times New Roman" w:hAnsi="Times New Roman"/>
          <w:sz w:val="18"/>
          <w:szCs w:val="18"/>
          <w:color w:val="auto"/>
        </w:rPr>
        <w:t>In addition to our drug candidates that we plan to evaluate in clinical development during 2026 and beyond, we believe it is vitally important to continue our investment in a pipeline of new drug candidates to continue to build the value of our drug candidate pipeline and our business. We continue our interest in identifying new drug candidates across a wide range of molecule classes, including small molecules and large proteins, peptides and antibodies, across multiple therapeutic areas. We also plan from time to time to evaluate opportunities to in-license potential drug candidates from third parties to add to our drug discovery and development pipeline. We plan to continue to advance our most promising early research drug candidates into preclinical development with the objective to advance these early-stage research programs to human clinical studies over the next several years.</w:t>
      </w:r>
    </w:p>
    <w:p>
      <w:pPr>
        <w:spacing w:after="0" w:line="160"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Our expenditures on current and future preclinical and clinical development programs are subject to numerous uncertainties in timing and cost to completion. In order to advance our drug candidates through clinical development, each drug candidate must be tested in numerous preclinical safety, toxicology and efficacy studies. We then conduct clinical studies for our drug candidates that take several years to complete. The cost and time required to complete clinical trials may vary significantly over the life of a clinical development program as a result of a variety of factors, including but not limited to:</w:t>
      </w:r>
    </w:p>
    <w:p>
      <w:pPr>
        <w:spacing w:after="0" w:line="139" w:lineRule="exact"/>
        <w:rPr>
          <w:sz w:val="20"/>
          <w:szCs w:val="20"/>
          <w:color w:val="auto"/>
        </w:rPr>
      </w:pPr>
    </w:p>
    <w:p>
      <w:pPr>
        <w:ind w:left="1300" w:hanging="648"/>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a given clinical study design;</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clinical study participants;</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sites included in the clinical studies;</w:t>
      </w:r>
    </w:p>
    <w:p>
      <w:pPr>
        <w:spacing w:after="0" w:line="184" w:lineRule="exact"/>
        <w:rPr>
          <w:rFonts w:ascii="Times New Roman" w:cs="Times New Roman" w:eastAsia="Times New Roman" w:hAnsi="Times New Roman"/>
          <w:sz w:val="18"/>
          <w:szCs w:val="18"/>
          <w:color w:val="auto"/>
        </w:rPr>
      </w:pPr>
    </w:p>
    <w:p>
      <w:pPr>
        <w:ind w:left="1300" w:right="700" w:hanging="648"/>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study designs required by the health authorities (i.e. primary and secondary endpoints as well as the size of the study population needed to demonstrate efficacy and safety outcomes);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300" w:hanging="648"/>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changing standards of care for the target patient population;</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for patient recruitment from competitive drug candidates being studied in the same clinical setting;</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producing supplies of the drug candidates needed for clinical trials and regulatory submissions;</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profile of the drug candidate;</w:t>
      </w:r>
    </w:p>
    <w:p>
      <w:pPr>
        <w:spacing w:after="0" w:line="198"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clinical research organizations to assist with the management of the trials; and</w:t>
      </w:r>
    </w:p>
    <w:p>
      <w:pPr>
        <w:spacing w:after="0" w:line="184" w:lineRule="exact"/>
        <w:rPr>
          <w:rFonts w:ascii="Times New Roman" w:cs="Times New Roman" w:eastAsia="Times New Roman" w:hAnsi="Times New Roman"/>
          <w:sz w:val="18"/>
          <w:szCs w:val="18"/>
          <w:color w:val="auto"/>
        </w:rPr>
      </w:pPr>
    </w:p>
    <w:p>
      <w:pPr>
        <w:ind w:left="1300" w:hanging="648"/>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and the ability to secure, approvals from government health authorities.</w:t>
      </w:r>
    </w:p>
    <w:p>
      <w:pPr>
        <w:spacing w:after="0" w:line="185" w:lineRule="exact"/>
        <w:rPr>
          <w:sz w:val="20"/>
          <w:szCs w:val="20"/>
          <w:color w:val="auto"/>
        </w:rPr>
      </w:pPr>
    </w:p>
    <w:p>
      <w:pPr>
        <w:ind w:right="60" w:firstLine="644"/>
        <w:spacing w:after="0" w:line="258" w:lineRule="auto"/>
        <w:rPr>
          <w:sz w:val="20"/>
          <w:szCs w:val="20"/>
          <w:color w:val="auto"/>
        </w:rPr>
      </w:pPr>
      <w:r>
        <w:rPr>
          <w:rFonts w:ascii="Times New Roman" w:cs="Times New Roman" w:eastAsia="Times New Roman" w:hAnsi="Times New Roman"/>
          <w:sz w:val="18"/>
          <w:szCs w:val="18"/>
          <w:color w:val="auto"/>
        </w:rPr>
        <w:t>Furthermore, our strategy includes the potential of entering into collaborations with third parties to participate in the development and commercialization of some of our drug candidates, or clinical collaborations where we would share costs and operational responsibility with a partner. In certain situations, the clinical development program and process for a drug candidate and the estimated completion date will largely be under the control of that third party and not under our control. We cannot forecast with any degree of certainty which of our drug candidates will be subject to future collaborations or how such arrangements would affect our development plans or capital requirements.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89" w:lineRule="exact"/>
        <w:rPr>
          <w:sz w:val="20"/>
          <w:szCs w:val="20"/>
          <w:color w:val="auto"/>
        </w:rPr>
      </w:pPr>
    </w:p>
    <w:p>
      <w:pPr>
        <w:ind w:right="300" w:firstLine="64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includes the cost of administrative staffing, finance and legal activities, including certain overhead support allocations. Additionally, general and administrative expense includes our lease and other facilities expenses, net of sublease income.</w:t>
      </w:r>
    </w:p>
    <w:p>
      <w:pPr>
        <w:spacing w:after="0" w:line="121"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decreased for the full year 2025 as compared to the full year 2024 due to decreases in facilities expense and stock-based compensation expense. Facilities expense decreased primarily due to the impairment charges we recorded in 2024, resulting in decreased lease expense following the impairment, and stock-based compensation expense decreased due to lower valuations on more recent grants due to the decrease in our stock price.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general and administrative expense for full year 2026 to decrease slightly as compared to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Impairment</w:t>
      </w:r>
    </w:p>
    <w:p>
      <w:pPr>
        <w:spacing w:after="0" w:line="189" w:lineRule="exact"/>
        <w:rPr>
          <w:sz w:val="20"/>
          <w:szCs w:val="20"/>
          <w:color w:val="auto"/>
        </w:rPr>
      </w:pPr>
    </w:p>
    <w:p>
      <w:pPr>
        <w:ind w:right="100" w:firstLine="644"/>
        <w:spacing w:after="0" w:line="266" w:lineRule="auto"/>
        <w:rPr>
          <w:sz w:val="20"/>
          <w:szCs w:val="20"/>
          <w:color w:val="auto"/>
        </w:rPr>
      </w:pPr>
      <w:r>
        <w:rPr>
          <w:rFonts w:ascii="Times New Roman" w:cs="Times New Roman" w:eastAsia="Times New Roman" w:hAnsi="Times New Roman"/>
          <w:sz w:val="18"/>
          <w:szCs w:val="18"/>
          <w:color w:val="auto"/>
        </w:rPr>
        <w:t>As discussed in Note 10 to our Consolidated Financial Statements, we have incurred significant costs as a result of our 2022 and 2023 Restructuring Plans. In connection with these events, we reported the following costs in restructuring and impairment as further described and disclosed in Note 10 to our Consolidated Financial Statements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right-of-use assets and property, plant and equipment</w:t>
            </w:r>
          </w:p>
        </w:tc>
        <w:tc>
          <w:tcPr>
            <w:tcW w:w="22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46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2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20" w:type="dxa"/>
            <w:vAlign w:val="bottom"/>
          </w:tcPr>
          <w:p>
            <w:pPr>
              <w:spacing w:after="0"/>
              <w:rPr>
                <w:sz w:val="18"/>
                <w:szCs w:val="18"/>
                <w:color w:val="auto"/>
              </w:rPr>
            </w:pPr>
          </w:p>
        </w:tc>
      </w:tr>
      <w:tr>
        <w:trPr>
          <w:trHeight w:val="250"/>
        </w:trPr>
        <w:tc>
          <w:tcPr>
            <w:tcW w:w="6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Restructuring and impairment</w:t>
            </w:r>
          </w:p>
        </w:tc>
        <w:tc>
          <w:tcPr>
            <w:tcW w:w="1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ind w:left="1140" w:hanging="488"/>
        <w:spacing w:after="0" w:line="25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right-of-use assets and property and equipment: The non-cash impairment charges for the full year 2024 relate to our leased spaces in San Francisco, CA, including our office and laboratory space on Mission Bay Blvd. South (the Mission Bay Facility) and our office space on Third St. (the Third St. Facility), reflecting deteriorations in both the laboratory and office lease markets. The non-cash impairment charges for the full year 2025 reflect additional impairment charges for the Mission Bay Facility as these lease markets continue to demonstrate a degree of weakness.</w:t>
      </w:r>
    </w:p>
    <w:p>
      <w:pPr>
        <w:spacing w:after="0" w:line="142" w:lineRule="exact"/>
        <w:rPr>
          <w:rFonts w:ascii="Times New Roman" w:cs="Times New Roman" w:eastAsia="Times New Roman" w:hAnsi="Times New Roman"/>
          <w:sz w:val="18"/>
          <w:szCs w:val="18"/>
          <w:color w:val="auto"/>
        </w:rPr>
      </w:pPr>
    </w:p>
    <w:p>
      <w:pPr>
        <w:jc w:val="both"/>
        <w:ind w:left="1140" w:right="80" w:hanging="488"/>
        <w:spacing w:after="0" w:line="26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termination and other restructuring charges: We recognized $4.9 million and $7.3 million in contract termination costs for the full years 2025 and 2024, respectively, in connection with our Restructuring Plans. Because we continue to adjust the liability based on updates to our assumptions at each reporting date, we will continue to recognize expense as our estimates change until final settlement.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the Huntsville Manufacturing Facility</w:t>
      </w:r>
    </w:p>
    <w:p>
      <w:pPr>
        <w:spacing w:after="0" w:line="189"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As discussed in Note 1 to our Consolidated Financial Statements, on December 2, 2024, we sold the Facility which included the assignment of our manufacturing and supply agreements to Gannet BioChem, an affiliate of Ampersand Capital Partners, for consideration of $64.7 million in cash, net of transaction costs, and an approximate 20% equity interest at the</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time of close in Gannet BioChem. This resulted in a net gain on sale of $40.4 million in 2024, after accounting for the net carrying value of all assets and liabilities sold and closing costs. See Note 11 to our Consolidated Financial Statements for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Interest income decreased for the full year 2025 as compared to the full year 2024, primarily due to lower investment balances as we have utilized our cash to fund our operations. We expect interest income to increase for 2026 due to the approximate $432.0 million in net proceeds from the 2026 Offering and $44.1 million in ATM proceeds through March 11, 2026 under the November 2025 ATM Sales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w:t>
      </w:r>
    </w:p>
    <w:p>
      <w:pPr>
        <w:spacing w:after="0" w:line="189"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As discussed in Note 4 to our Condensed Consolidated Financial Statements, we determine our gain or loss on our equity method investment in Gannet BioChem using the hypothetical liquidation at book value (HLBV) due to Ampersand’s priority liquidation preference and right to receive a cumulative preferred dividend. The HLBV method is a balance sheet approach that calculates the change in the hypothetical amount we and Ampersand would be entitled to receive if Gannet BioChem were liquidated at book value at the end of each period, subject to certain adjustments for any contributions, distributions and basis differences. We report our gain or loss from our equity method investment in Gannet BioChem on a three-month lag. Therefore, our loss recorded for the for the full year 2025, reflects Gannet BioChem’s activities from closing on December 2, 2024 through September 30, 2025. Our losses for these periods reflect Ampersand’s cumulative preferred dividend earned for such periods and Gannet BioChem’s net losses for such periods. Our loss of $8.7 million for the full year 2025 includes $2.5 million of Ampersand’s transaction costs deducted from Ampersand’s cash investment in Gannet BioChem.</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a significant gain or loss from equity method investment in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We have financed our operations primarily through revenue from upfront and milestone payments under our strategic collaboration agreements, royalties and product sales, as well as public and private placements of debt and equity securities. As of December 31, 2025, we had approximately $245.8 million in cash and investments in marketable securities.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2024, we entered into the following transactions:</w:t>
      </w:r>
    </w:p>
    <w:p>
      <w:pPr>
        <w:spacing w:after="0" w:line="185" w:lineRule="exact"/>
        <w:rPr>
          <w:sz w:val="20"/>
          <w:szCs w:val="20"/>
          <w:color w:val="auto"/>
        </w:rPr>
      </w:pPr>
    </w:p>
    <w:p>
      <w:pPr>
        <w:ind w:left="1300" w:right="340" w:hanging="648"/>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12, 2024, for total cash consideration paid of $3.0 million, we repurchased the 552,307 shares previously sold to Bristol Myers Squibb Company (BMS). See Note 9 to our Consolidated Financial Statements for additional information.</w:t>
      </w:r>
    </w:p>
    <w:p>
      <w:pPr>
        <w:spacing w:after="0" w:line="121" w:lineRule="exact"/>
        <w:rPr>
          <w:rFonts w:ascii="Times New Roman" w:cs="Times New Roman" w:eastAsia="Times New Roman" w:hAnsi="Times New Roman"/>
          <w:sz w:val="18"/>
          <w:szCs w:val="18"/>
          <w:color w:val="auto"/>
        </w:rPr>
      </w:pPr>
    </w:p>
    <w:p>
      <w:pPr>
        <w:ind w:left="1300" w:right="100" w:hanging="648"/>
        <w:spacing w:after="0" w:line="255"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2024, we entered into a Securities Purchase Agreement with TCG Crossover Fund II, L.P. (TCG), pursuant to which we issued a pre-funded warrant (the TCG Pre-funded Warrant) to TCG to purchase 1,666,667 shares of Nektar’s common stock for gross proceeds of $30.0 million (or a purchase price of $18.00 per share of common stock that can be issued upon exercise of the TCG Pre-funded Warrant). On May 28, 2024, we filed with the SEC a registration statement on Form S-3 (file no. 333-279760) registering for the resale of up to 1,666,667 shares of Nektar’s common stock upon exercise of the TCG Pre-funded Warrant pursuant to the Securities Purchase Agreement. The registration statement became effective on June 5, 2024. In July 2025, TCG exercised the warrant in full. See Note 8 to our Consolidated Financial Statements for additional information.</w:t>
      </w:r>
    </w:p>
    <w:p>
      <w:pPr>
        <w:spacing w:after="0" w:line="161" w:lineRule="exact"/>
        <w:rPr>
          <w:rFonts w:ascii="Times New Roman" w:cs="Times New Roman" w:eastAsia="Times New Roman" w:hAnsi="Times New Roman"/>
          <w:sz w:val="18"/>
          <w:szCs w:val="18"/>
          <w:color w:val="auto"/>
        </w:rPr>
      </w:pPr>
    </w:p>
    <w:p>
      <w:pPr>
        <w:ind w:left="1300" w:right="20" w:hanging="648"/>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2024, for total cash consideration received of $15.0 million, Nektar entered into an amendment with HCR to remove the cap under the 2020 Purchase and Sale Agreement. See Note 6 to our Consolidated Financial Statements for additional information.</w:t>
      </w:r>
    </w:p>
    <w:p>
      <w:pPr>
        <w:spacing w:after="0" w:line="121" w:lineRule="exact"/>
        <w:rPr>
          <w:rFonts w:ascii="Times New Roman" w:cs="Times New Roman" w:eastAsia="Times New Roman" w:hAnsi="Times New Roman"/>
          <w:sz w:val="18"/>
          <w:szCs w:val="18"/>
          <w:color w:val="auto"/>
        </w:rPr>
      </w:pPr>
    </w:p>
    <w:p>
      <w:pPr>
        <w:ind w:left="1300" w:right="20" w:hanging="648"/>
        <w:spacing w:after="0" w:line="261"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 2024, we completed the sale of the Facility which included the assignment of our manufacturing and supply agreements to Gannet BioChem, an affiliate of Ampersand Capital Partners, for consideration of $64.7 million in cash, net of transaction costs,and an approximate 20% equity interest at the time of close in Gannet BioChem. See Note 11 to our Consolidated Financial Statements for additional information.</w:t>
      </w:r>
    </w:p>
    <w:p>
      <w:pPr>
        <w:spacing w:after="0" w:line="139" w:lineRule="exact"/>
        <w:rPr>
          <w:sz w:val="20"/>
          <w:szCs w:val="20"/>
          <w:color w:val="auto"/>
        </w:rPr>
      </w:pPr>
    </w:p>
    <w:p>
      <w:pPr>
        <w:ind w:right="160" w:firstLine="644"/>
        <w:spacing w:after="0" w:line="266" w:lineRule="auto"/>
        <w:rPr>
          <w:sz w:val="20"/>
          <w:szCs w:val="20"/>
          <w:color w:val="auto"/>
        </w:rPr>
      </w:pPr>
      <w:r>
        <w:rPr>
          <w:rFonts w:ascii="Times New Roman" w:cs="Times New Roman" w:eastAsia="Times New Roman" w:hAnsi="Times New Roman"/>
          <w:sz w:val="18"/>
          <w:szCs w:val="18"/>
          <w:color w:val="auto"/>
        </w:rPr>
        <w:t>We filed a shelf registration statement on Form S-3 and a related prospectus (the April 2025 Shelf Registration Statement) that was declared effective by the Securities and Exchange Commission (the SEC) on April 1, 2025. Pursuant to the April 2025 Shelf Registration Statement, we may offer and sell common stock, preferred stock, debt securities, warrants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and or units having an aggregate public offering price of up to $300.0 million. In connection with the filing of the April 2025 Shelf Registration Statement, we also entered into an equity distribution agreement (the April 2025 ATM Sales Agreement) with Piper Sandler &amp; Co. and BTIG, LLC, relating to the sale of our common stock having an aggregate offering price of up to $75.0 million (the April 2025 ATM Shares). The sales of the ATM shares could be made by any method permitted that is deemed to be an “at-the-market” equity offering as defined in Rule 415(a)(4) promulgated under the Securities Act, including sales made directly on or through Nasdaq or on any other existing trading market for our common stock. We have agreed to pay Piper Sandler &amp; Co. and BTIG, LLC a commission equal to 3.0% of the gross sales price of all common stock sold through them as sales agents.</w:t>
      </w:r>
    </w:p>
    <w:p>
      <w:pPr>
        <w:spacing w:after="0" w:line="160"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On July 2, 2025, pursuant to the April 2025 Shelf Registration Statement, we completed the sale and issuance of 4,893,618 shares of our common stock in an underwritten public offering (the 2025 Offering) at a price of $23.50 per share. The net proceeds to the Company from the 2025 Offering totaled approximately $107.2 million, after deducting underwriting discounts, commissions and offering costs. See Note 8 to our Consolidated Financial Statements for additional information.</w:t>
      </w:r>
    </w:p>
    <w:p>
      <w:pPr>
        <w:spacing w:after="0" w:line="139" w:lineRule="exact"/>
        <w:rPr>
          <w:sz w:val="20"/>
          <w:szCs w:val="20"/>
          <w:color w:val="auto"/>
        </w:rPr>
      </w:pPr>
    </w:p>
    <w:p>
      <w:pPr>
        <w:ind w:right="180" w:firstLine="644"/>
        <w:spacing w:after="0" w:line="266" w:lineRule="auto"/>
        <w:rPr>
          <w:sz w:val="20"/>
          <w:szCs w:val="20"/>
          <w:color w:val="auto"/>
        </w:rPr>
      </w:pPr>
      <w:r>
        <w:rPr>
          <w:rFonts w:ascii="Times New Roman" w:cs="Times New Roman" w:eastAsia="Times New Roman" w:hAnsi="Times New Roman"/>
          <w:sz w:val="18"/>
          <w:szCs w:val="18"/>
          <w:color w:val="auto"/>
        </w:rPr>
        <w:t>In September and October 2025, we issued 1,273,923 shares of our common stock under the April 2025 ATM Sales Agreement at a weighted average price of $58.87 per share for net proceeds of $72.5 million after deducting related commissions and offering costs of approximately $2.5 million. No April 2025 ATM shares remain available for issuance under the April 2025 ATM Sales Agreement.</w:t>
      </w:r>
    </w:p>
    <w:p>
      <w:pPr>
        <w:spacing w:after="0" w:line="135"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On November 12, 2025, we filed a new registration statement on Form S-3ASR and related prospectus (the November 2025 Shelf Registration), as a “well-known seasoned issuer,” as defined in Rule 405 under the Securities Act. The November 2025 Shelf Registration became automatically effective upon filing, and permits us to offer, from time to time, an unspecified amount of common stock, preferred stock, debt securities and warrants.</w:t>
      </w:r>
    </w:p>
    <w:p>
      <w:pPr>
        <w:spacing w:after="0" w:line="149"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On February 13, 2026, we completed the sale of and issuance of 7,637,931 shares of common stock at a price of $58.00 per share and 293,103 pre-funded warrants at price of $57.9999 per pre-funded warrant in an underwritten public offering (the 2026 Offering). The estimated net proceeds from the 2026 Offering totaled approximately $432.0 million, after deducting underwriting discounts and commissions and estimated offering expenses.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12, 2025, we also entered into a new equity distribution agreement (the November 2025 ATM Sales Agreement) with Piper Sandler</w:t>
      </w:r>
    </w:p>
    <w:p>
      <w:pPr>
        <w:spacing w:after="0" w:line="27" w:lineRule="exact"/>
        <w:rPr>
          <w:sz w:val="20"/>
          <w:szCs w:val="20"/>
          <w:color w:val="auto"/>
        </w:rPr>
      </w:pPr>
    </w:p>
    <w:p>
      <w:pPr>
        <w:ind w:right="160" w:firstLine="8"/>
        <w:spacing w:after="0" w:line="253" w:lineRule="auto"/>
        <w:tabs>
          <w:tab w:leader="none" w:pos="1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and BTIG, LLC, relating to the sale of our common stock having an aggregate offering price of up to $110.0 million in an “at-the-market” offering (the November 2025 ATM Shares) under the April 2025 Shelf Registration Statement. As of December 31, 2025, no shares were issued under the November 2025 ATM Sales Agreement. From February 20, 2026 through March 11, 2026, we issued 639,131 shares of our common stock under the November 2025 ATM Sales Agreement at a weighted average price of $71.15 per share for net proceeds of $44.1 million.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that we have working capital to fund our current business plans for at least the next twelve months from the date of filing.</w:t>
      </w:r>
    </w:p>
    <w:p>
      <w:pPr>
        <w:spacing w:after="0" w:line="198" w:lineRule="exact"/>
        <w:rPr>
          <w:sz w:val="20"/>
          <w:szCs w:val="20"/>
          <w:color w:val="auto"/>
        </w:rPr>
      </w:pPr>
    </w:p>
    <w:p>
      <w:pPr>
        <w:ind w:right="40" w:firstLine="644"/>
        <w:spacing w:after="0" w:line="255" w:lineRule="auto"/>
        <w:rPr>
          <w:sz w:val="20"/>
          <w:szCs w:val="20"/>
          <w:color w:val="auto"/>
        </w:rPr>
      </w:pPr>
      <w:r>
        <w:rPr>
          <w:rFonts w:ascii="Times New Roman" w:cs="Times New Roman" w:eastAsia="Times New Roman" w:hAnsi="Times New Roman"/>
          <w:sz w:val="18"/>
          <w:szCs w:val="18"/>
          <w:color w:val="auto"/>
        </w:rPr>
        <w:t>We expect the clinical development of our drug candidates, including rezpegaldesleukin, NKTR-255, NKTR-0165, and NKTR-0166 will continue to require significant investment to continue to advance in clinical development with the objective of obtaining regulatory approval or entering into one or more collaboration partnerships. In the past, we have received a number of significant payments from collaboration agreements and other significant transactions, including $1.9 billion in total consideration received under our arrangement with BMS, development cost reimbursements from BMS, and a $150.0 million upfront payment from Eli Lilly and Company for our collaboration agreement for rezpegaldesleukin. Additionally, certain of our collaboration partners have borne substantial costs of developing our drug candidates. We expect we will continue our approach of entering into revenue-generating collaboration agreements to pay in whole or in part the development costs of our drug candidates.</w:t>
      </w:r>
    </w:p>
    <w:p>
      <w:pPr>
        <w:spacing w:after="0" w:line="148" w:lineRule="exact"/>
        <w:rPr>
          <w:sz w:val="20"/>
          <w:szCs w:val="20"/>
          <w:color w:val="auto"/>
        </w:rPr>
      </w:pPr>
    </w:p>
    <w:p>
      <w:pPr>
        <w:ind w:right="280" w:firstLine="644"/>
        <w:spacing w:after="0" w:line="258" w:lineRule="auto"/>
        <w:rPr>
          <w:sz w:val="20"/>
          <w:szCs w:val="20"/>
          <w:color w:val="auto"/>
        </w:rPr>
      </w:pPr>
      <w:r>
        <w:rPr>
          <w:rFonts w:ascii="Times New Roman" w:cs="Times New Roman" w:eastAsia="Times New Roman" w:hAnsi="Times New Roman"/>
          <w:sz w:val="18"/>
          <w:szCs w:val="18"/>
          <w:color w:val="auto"/>
        </w:rPr>
        <w:t>Our current business is subject to significant uncertainties and risks as a result of, among other factors, clinical and regulatory outcomes for rezpegaldesleukin, NKTR-0165, NKTR-0166 and NKTR-255; the sales levels for those products, if and when they are approved; whether, when and on what terms we are able to enter into new collaboration transactions; expenses being higher than anticipated, unplanned expenses and the need to satisfy contingent liabilities, including litigation matters and indemnification obligations; and cash receipts, including sublease income, being lower than anticipated.</w:t>
      </w:r>
    </w:p>
    <w:p>
      <w:pPr>
        <w:spacing w:after="0" w:line="143"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We have no credit facility or any other sources of committed capital. The availability and terms of various financing alternatives, if required in the future, substantially depend on many factors including the success or failure of drug development programs in our pipeline. The availability and terms of financing alternatives and any future significant payments from existing or new collaborations depend on the positive outcome of ongoing or planned clinical studies, whether we or our partners are successful in obtaining regulatory authority approvals in major markets, and if approved,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commercial success of these drugs, as well as general capital market conditions. We may pursue various financing alternatives to fund the expansion of our business as appropriate.</w:t>
      </w:r>
    </w:p>
    <w:p>
      <w:pPr>
        <w:spacing w:after="0" w:line="135"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As a result of our restructuring plans, we are seeking to sublease all of our laboratory and office space in the Mission Bay Facility and our office space in the Third St. Facility, and we have current subleases for a portion of the Mission Bay Facility. The San Francisco Bay Area office lease market has been negatively impacted by economic uncertainties, particularly impacting the technology industry, and the change in work habits, as employees continue to work remotely. Accordingly, for the Third St. Facility, there is significant uncertainty as to whether or when we will be able to enter into a sublease as well as the economic terms of such subleases, if any. Meanwhile, the San Francisco Bay Area life sciences lease market continues to be weak as a significant amount of leasable space remains available in the San Francisco Bay Area. Accordingly, there is uncertainty as to whether or when we will be able to enter into a sublease as well as the economic terms of such subleases, if any.</w:t>
      </w:r>
    </w:p>
    <w:p>
      <w:pPr>
        <w:spacing w:after="0" w:line="148"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Due to the potential for adverse developments in the credit markets, we may experience reduced liquidity with respect to some of our investments in marketable securities. These investments are generally held to maturity, which, in accordance with our investment policy, is less than two years. However, if the need arises to liquidate such securities before maturity, we may experience losses on liquidation. To date we have not experienced any liquidity issues with respect to these securities. We believe that, even allowing for potential liquidity issues with respect to these securities and the effect of various conditions on the financial markets, our remaining cash and investments in marketable securities will be sufficient to meet our anticipated cash needs for at least the next twelve months.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flows used in operating activities for the years ended December 31, 2025 and 2024 totaled $208.5 million and $175.7 million, respectively.</w:t>
      </w:r>
    </w:p>
    <w:p>
      <w:pPr>
        <w:spacing w:after="0" w:line="185"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We expect that cash flows used in operating activities, excluding upfront, milestone and other contingent payments received, if any, will increase significantly for 2026 as compared to 2025 to support our Phase 3 rezpegaldesleukin program in atopic dermatitis.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i w:val="1"/>
          <w:iCs w:val="1"/>
          <w:color w:val="auto"/>
        </w:rPr>
        <w:t>ng activities</w:t>
      </w:r>
    </w:p>
    <w:p>
      <w:pPr>
        <w:spacing w:after="0" w:line="202"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our purchases of investments net of maturities were immaterial as the proceeds from our equity financings substantially offset funding our operations. For the year ended December 31, 2024 the maturities of our investments, net of purchases, totaled $78.7 million, which we used to fund our operations.</w:t>
      </w:r>
    </w:p>
    <w:p>
      <w:pPr>
        <w:spacing w:after="0" w:line="135" w:lineRule="exact"/>
        <w:rPr>
          <w:sz w:val="20"/>
          <w:szCs w:val="20"/>
          <w:color w:val="auto"/>
        </w:rPr>
      </w:pPr>
    </w:p>
    <w:p>
      <w:pPr>
        <w:jc w:val="both"/>
        <w:ind w:right="320" w:firstLine="644"/>
        <w:spacing w:after="0" w:line="266" w:lineRule="auto"/>
        <w:rPr>
          <w:sz w:val="20"/>
          <w:szCs w:val="20"/>
          <w:color w:val="auto"/>
        </w:rPr>
      </w:pPr>
      <w:r>
        <w:rPr>
          <w:rFonts w:ascii="Times New Roman" w:cs="Times New Roman" w:eastAsia="Times New Roman" w:hAnsi="Times New Roman"/>
          <w:sz w:val="18"/>
          <w:szCs w:val="18"/>
          <w:color w:val="auto"/>
        </w:rPr>
        <w:t>As discussed above, in December 2024, we completed the sale of the Facility which included the assignment of our manufacturing and supply agreements to Gannet BioChem, an affiliate of Ampersand Capital Partners, for consideration of $64.7 million in cash, net of transaction costs, and an approximate 20% equity interest at the time of close in Gannet BioChem.</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other investing activities were not significant for the periods presented.</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89"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Other than the financing activities described above, our cash flows from financing activities for the years ended December 31, 2025 and 2024 were not significant.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140" w:firstLine="644"/>
        <w:spacing w:after="0" w:line="266" w:lineRule="auto"/>
        <w:rPr>
          <w:sz w:val="20"/>
          <w:szCs w:val="20"/>
          <w:color w:val="auto"/>
        </w:rPr>
      </w:pPr>
      <w:r>
        <w:rPr>
          <w:rFonts w:ascii="Times New Roman" w:cs="Times New Roman" w:eastAsia="Times New Roman" w:hAnsi="Times New Roman"/>
          <w:sz w:val="18"/>
          <w:szCs w:val="18"/>
          <w:color w:val="auto"/>
        </w:rPr>
        <w:t>The preparation and presentation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5" w:lineRule="exact"/>
        <w:rPr>
          <w:sz w:val="20"/>
          <w:szCs w:val="20"/>
          <w:color w:val="auto"/>
        </w:rPr>
      </w:pPr>
    </w:p>
    <w:p>
      <w:pPr>
        <w:ind w:right="80" w:firstLine="644"/>
        <w:spacing w:after="0" w:line="266" w:lineRule="auto"/>
        <w:rPr>
          <w:sz w:val="20"/>
          <w:szCs w:val="20"/>
          <w:color w:val="auto"/>
        </w:rPr>
      </w:pPr>
      <w:r>
        <w:rPr>
          <w:rFonts w:ascii="Times New Roman" w:cs="Times New Roman" w:eastAsia="Times New Roman" w:hAnsi="Times New Roman"/>
          <w:sz w:val="18"/>
          <w:szCs w:val="18"/>
          <w:color w:val="auto"/>
        </w:rPr>
        <w:t>We base our estimates on historical experience and on various other assumptions that we believe to be reasonable under the circumstances, the results of which form our basis for making judgments about the carrying value of assets and liabilities that are not readily apparent from other sources. We evaluate our estimates on an ongoing basis. Actual results may differ from those estimates under different assumptions or conditions.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02" w:lineRule="exact"/>
        <w:rPr>
          <w:sz w:val="20"/>
          <w:szCs w:val="20"/>
          <w:color w:val="auto"/>
        </w:rPr>
      </w:pPr>
    </w:p>
    <w:p>
      <w:pPr>
        <w:ind w:right="200" w:firstLine="644"/>
        <w:spacing w:after="0" w:line="258" w:lineRule="auto"/>
        <w:rPr>
          <w:sz w:val="20"/>
          <w:szCs w:val="20"/>
          <w:color w:val="auto"/>
        </w:rPr>
      </w:pPr>
      <w:r>
        <w:rPr>
          <w:rFonts w:ascii="Times New Roman" w:cs="Times New Roman" w:eastAsia="Times New Roman" w:hAnsi="Times New Roman"/>
          <w:sz w:val="18"/>
          <w:szCs w:val="18"/>
          <w:color w:val="auto"/>
        </w:rPr>
        <w:t>We assess the impairment of long-lived assets whenever events or changes in business circumstances indicate that the carrying amounts of the assets may not be fully recoverable. In the case of property and equipment and right-of-use assets for our leases, we determine whether there has been an impairment by comparing the carrying value of the asset to the anticipated net cash flows associated with the asset. If such cash flows are less than the carrying value, we write down the asset to its fair value, which may be measured as anticipated discounted net cash flows associated with the asset, discounted at a rate that we believe a market participant would utilize to reflect the risks associated with the cash flows, such as credit risk.</w:t>
      </w:r>
    </w:p>
    <w:p>
      <w:pPr>
        <w:spacing w:after="0" w:line="143"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As discussed in Note 10, in connection with our 2022 and 2023 Restructuring Plans, we decided to seek a sublease for all of our leased spaces in the Third St. Facility and the Mission Bay Facility. Accordingly, we evaluate each space for impairment at each reporting date, as facts and circumstances change. The significant assumptions in our impairment analysis relate to sublease income, including the length of time to enter into a sublease, sublease rental payments, free rent periods, tenant improvement allowances and broker commissions. When available, we use sublease negotiations or agreements, but in the absence of such information, we develop our own subjective estimates based on current real estate trends and market conditions. Accordingly, our estimates are subject to significant risk, and the terms of sublease agreements, if any, and the resulting amount and timing of sublease income, if ever realized, may be materially different than our estimates.</w:t>
      </w:r>
    </w:p>
    <w:p>
      <w:pPr>
        <w:spacing w:after="0" w:line="148"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As part of our evaluation of each sublease space, we separately compare the estimated undiscounted sublease income, if any, as described above, for each sublease to the net book value of the related long-term assets, which include right-of-use assets and certain property, plant and equipment, primarily for leasehold improvements (collectively, sublease assets). If such sublease income exceeds the net book value of the sublease assets, we do not record an impairment charge. Otherwise, we record an impairment charge by reducing the net book value of the sublease assets to their estimated fair value, which we determined by discounting the estimated sublease income using the estimated borrowing rate of a market participant subtenant. Determination of these key assumptions is complex and highly judgmental.</w:t>
      </w:r>
    </w:p>
    <w:p>
      <w:pPr>
        <w:spacing w:after="0" w:line="160"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For certain impairment charges, we used the terms of active sublease negotiations or agreements to estimate sublease income. However, for the most significant impairment charges we recorded, we developed our estimates based on current real estate trends and market conditions. Given the current office and life sciences lease market rental conditions in San Francisco, our estimates are subject to significant uncertainty. The ultimate amount of sublease income may differ significantly than the amounts used to record our impairment charges.</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89"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 xml:space="preserve">When we enter into collaboration agreements with pharmaceutical and biotechnology partners, we assess whether the arrangements fall within the scope of Accounting Standards Codification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based on whether the arrangements involve joint operating activities and whether both parties have active participation in the arrangement and are exposed to significant risks and rewards. To the extent that the arrangement falls within the scope of ASC 808, we assess whether the payments between us and our collaboration partner fall within the scope of other accounting literature. If we conclude that payments from the collaboration partner to us represent consideration from a customer, such as license fees and contract research and development activities, we account for those payments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However, if we conclude that our collaboration partner is not a customer for certain activities and associated payments, such as for certain collaborative research, development, manufacturing and commercial activities, we record such payments as a reduction of research and development expense or general and administrative expense, based on where we record the underlying expense.</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We recognize license, collaboration and other research revenue, including the upfront fees and milestone payments based on the facts and circumstances of each contractual agreement. At the inception of each agreement, we determine which promises represent distinct performance obligations, for which management must use significant judgment. Additionally, at inception and at each reporting date thereafter, we must determine and update, as appropriate, the transaction price, which includes variable consideration such as development and commercial launch milestones. We must use judgment to determine when to include the variable consideration for these milestones in the transaction price such that inclusion of such variable consideration will not result in a significant reversal of revenue recognized when the contingency surrounding the variable consideration is resolved. Due to the significant uncertainties involved with clinical development and regulatory approval, we generally do not believe that we would update the transaction price before events that are outside of our control occur, such as the release of clinical trial results, regulatory acceptance of a BLA or similar filing or regulatory approval. However, if these results are positive, we may conclude that certain milestones meet the recognition requirements for inclusion in the transaction price and therefore we would recognize them as revenue before the milestone event occurs and the payment becomes due to us, provided that the achievement of the milestone is within our control.</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Clinical Trial Expenses</w:t>
      </w:r>
    </w:p>
    <w:p>
      <w:pPr>
        <w:spacing w:after="0" w:line="202"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We record an accrued expense for the estimated unbilled costs of our clinical study activities performed by third parties, and there may be significant delays between these expenses being incurred and the timing of vendor submission of invoices to us. The financial terms of these agreements are subject to negotiation, vary from contract to contract and may result in uneven payment flows to our vendors. Payments under the contracts depend on factors such as the achievement of certain events, successful enrollment of patients and completion of certain clinical trial activities. We generally recognize costs associated with the start-up and reporting phases of the clinical trials as incurred. We generally accrue costs associated with the treatment phase of clinical trials based on the estimated activities performed by our third-party vendors, including our contract research organizations. In specific circumstances, such as for certain time-based costs, we recognize clinical trial expenses ratably over the service period, as we believe that this methodology may be more reflective of the timing of costs incurred.</w:t>
      </w:r>
    </w:p>
    <w:p>
      <w:pPr>
        <w:spacing w:after="0" w:line="151"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We base our estimates on the best information available at the time. However, additional information may become available to us, which may allow us to make a more accurate estimate in future periods. In this event, we may be required to record adjustments to research and development expenses in future periods when the actual level of activity becomes more certain. Such increases or decreases in cost are generally considered to be changes in estimates and will be reflected in research and development expenses in the period identified.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02" w:lineRule="exact"/>
        <w:rPr>
          <w:sz w:val="20"/>
          <w:szCs w:val="20"/>
          <w:color w:val="auto"/>
        </w:rPr>
      </w:pPr>
    </w:p>
    <w:p>
      <w:pPr>
        <w:ind w:right="2520" w:firstLine="644"/>
        <w:spacing w:after="0" w:line="546" w:lineRule="auto"/>
        <w:rPr>
          <w:sz w:val="20"/>
          <w:szCs w:val="20"/>
          <w:color w:val="auto"/>
        </w:rPr>
      </w:pPr>
      <w:r>
        <w:rPr>
          <w:rFonts w:ascii="Times New Roman" w:cs="Times New Roman" w:eastAsia="Times New Roman" w:hAnsi="Times New Roman"/>
          <w:sz w:val="18"/>
          <w:szCs w:val="18"/>
          <w:color w:val="auto"/>
        </w:rPr>
        <w:t xml:space="preserve">For information about recent accounting pronouncements, see Note 1 to our Consolidated Financial Statements. </w:t>
      </w:r>
      <w:r>
        <w:rPr>
          <w:rFonts w:ascii="Times New Roman" w:cs="Times New Roman" w:eastAsia="Times New Roman" w:hAnsi="Times New Roman"/>
          <w:sz w:val="18"/>
          <w:szCs w:val="18"/>
          <w:b w:val="1"/>
          <w:bCs w:val="1"/>
          <w:color w:val="auto"/>
        </w:rPr>
        <w:t>Item 7A. Quantitative and Qualitative Disclosures About Market Risk Inflation Risk</w:t>
      </w:r>
    </w:p>
    <w:p>
      <w:pPr>
        <w:spacing w:after="0" w:line="246" w:lineRule="exact"/>
        <w:rPr>
          <w:sz w:val="20"/>
          <w:szCs w:val="20"/>
          <w:color w:val="auto"/>
        </w:rPr>
      </w:pPr>
    </w:p>
    <w:p>
      <w:pPr>
        <w:ind w:firstLine="644"/>
        <w:spacing w:after="0" w:line="282" w:lineRule="auto"/>
        <w:rPr>
          <w:sz w:val="20"/>
          <w:szCs w:val="20"/>
          <w:color w:val="auto"/>
        </w:rPr>
      </w:pPr>
      <w:r>
        <w:rPr>
          <w:rFonts w:ascii="Times New Roman" w:cs="Times New Roman" w:eastAsia="Times New Roman" w:hAnsi="Times New Roman"/>
          <w:sz w:val="18"/>
          <w:szCs w:val="18"/>
          <w:color w:val="auto"/>
        </w:rPr>
        <w:t>We are exposed to the risk of inflation, which increased significantly during 2023 and continued to increase in 2025, and may result in increases to our 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and Market Risk</w:t>
      </w:r>
    </w:p>
    <w:p>
      <w:pPr>
        <w:spacing w:after="0" w:line="189" w:lineRule="exact"/>
        <w:rPr>
          <w:sz w:val="20"/>
          <w:szCs w:val="20"/>
          <w:color w:val="auto"/>
        </w:rPr>
      </w:pPr>
    </w:p>
    <w:p>
      <w:pPr>
        <w:ind w:right="20" w:firstLine="644"/>
        <w:spacing w:after="0" w:line="261"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at the same time maximizing yields without significantly increasing risk. To achieve this objective, we invest in liquid, high quality debt securities. Our investments in debt securities are subject to interest rate risk. To minimize the exposure due to an adverse shift in interest rates, we invest in securities with maturities of two years or less and maintain a weighted average maturity of one year or less.</w:t>
      </w:r>
    </w:p>
    <w:p>
      <w:pPr>
        <w:spacing w:after="0" w:line="153"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A hypothetical 50 basis point increase in interest rates would result in an approximate $0.3 million decrease, less than 1%, in the fair value of our available-for-sale securities at December 31, 2025. This potential change is based on sensitivity analyses performed on our investment securities at December 31, 2025. Actual results may differ materially. The same hypothetical 50 basis point increase in interest rates would have resulted in an approximate $0.5 million decrease, less than 1%, in the fair value of our available-for-sale securities at December 31, 2024.</w:t>
      </w:r>
    </w:p>
    <w:p>
      <w:pPr>
        <w:spacing w:after="0" w:line="139"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As of December 31, 2025, we held $216.5 million of available-for-sale investments, excluding money market funds, with an average time to maturity of four months. To date we have not experienced any liquidity issues with respect to these securities, but should such issues arise, we may be required to hold some, or all, of these securities until maturity. We believe that, even allowing for potential liquidity issues with respect to these securities, our remaining cash, cash equivalents, and investments in marketable securities will be sufficient to meet our anticipated cash needs for at least the next twelve months. Based on our available cash, the timing of the maturities of our investments and our expected operating cash requirements, we currently do not intend to sell these securities prior to maturity and it is more likely than not that we will not be required to sell these securities before we recover the amortized cost basis.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02"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As a result of the sale of our research and development facility in India, we have cash and investment balances in India that we intend to repatriate as part of our closure of this entity. We are subject to foreign currency exchange risk until we repatriate these funds.</w:t>
      </w:r>
    </w:p>
    <w:p>
      <w:pPr>
        <w:spacing w:after="0" w:line="121" w:lineRule="exact"/>
        <w:rPr>
          <w:sz w:val="20"/>
          <w:szCs w:val="20"/>
          <w:color w:val="auto"/>
        </w:rPr>
      </w:pPr>
    </w:p>
    <w:p>
      <w:pPr>
        <w:ind w:right="220" w:firstLine="644"/>
        <w:spacing w:after="0" w:line="282" w:lineRule="auto"/>
        <w:rPr>
          <w:sz w:val="20"/>
          <w:szCs w:val="20"/>
          <w:color w:val="auto"/>
        </w:rPr>
      </w:pPr>
      <w:r>
        <w:rPr>
          <w:rFonts w:ascii="Times New Roman" w:cs="Times New Roman" w:eastAsia="Times New Roman" w:hAnsi="Times New Roman"/>
          <w:sz w:val="18"/>
          <w:szCs w:val="18"/>
          <w:color w:val="auto"/>
        </w:rPr>
        <w:t>The majority of our revenue, expense, and capital purchasing activities are transacted in U.S. dollars. However, we have contracts with contract manufacturing organizations in Europe and incur costs from sites in a variety of international</w:t>
      </w:r>
    </w:p>
    <w:p>
      <w:pPr>
        <w:sectPr>
          <w:pgSz w:w="11900" w:h="16838" w:orient="portrait"/>
          <w:cols w:equalWidth="0" w:num="1">
            <w:col w:w="11220"/>
          </w:cols>
          <w:pgMar w:left="320" w:top="117" w:right="35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locations which are paid in their respective local currencies. Accordingly, we are subject to foreign currency exchange risk for these transactions.</w:t>
      </w:r>
    </w:p>
    <w:p>
      <w:pPr>
        <w:spacing w:after="0" w:line="198"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Our international operations are subject to risks typical of international operations, including, but not limited to, differing economic conditions, changes in political climate, differing tax structures, other regulations and restrictions, and foreign exchange rate volatility. We do not utilize derivative financial instruments to manage our exchange rate risks. We do not believe that inflation has had a material adverse impact on our revenues or operations in any of the past two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80" w:type="dxa"/>
            <w:vAlign w:val="bottom"/>
            <w:gridSpan w:val="6"/>
          </w:tcPr>
          <w:p>
            <w:pPr>
              <w:jc w:val="center"/>
              <w:ind w:right="3560"/>
              <w:spacing w:after="0"/>
              <w:rPr>
                <w:sz w:val="20"/>
                <w:szCs w:val="20"/>
                <w:color w:val="auto"/>
              </w:rPr>
            </w:pPr>
            <w:r>
              <w:rPr>
                <w:rFonts w:ascii="Times New Roman" w:cs="Times New Roman" w:eastAsia="Times New Roman" w:hAnsi="Times New Roman"/>
                <w:sz w:val="18"/>
                <w:szCs w:val="18"/>
                <w:b w:val="1"/>
                <w:bCs w:val="1"/>
                <w:color w:val="auto"/>
              </w:rPr>
              <w:t>NEKTAR THERAPEUTICS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7180" w:type="dxa"/>
            <w:vAlign w:val="bottom"/>
            <w:gridSpan w:val="7"/>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840" w:type="dxa"/>
            <w:vAlign w:val="bottom"/>
            <w:gridSpan w:val="5"/>
            <w:vMerge w:val="restart"/>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5500" w:type="dxa"/>
            <w:vAlign w:val="bottom"/>
            <w:tcBorders>
              <w:bottom w:val="single" w:sz="8" w:color="0000FF"/>
            </w:tcBorders>
            <w:gridSpan w:val="3"/>
            <w:vMerge w:val="continue"/>
          </w:tcPr>
          <w:p>
            <w:pPr>
              <w:spacing w:after="0"/>
              <w:rPr>
                <w:sz w:val="14"/>
                <w:szCs w:val="14"/>
                <w:color w:val="auto"/>
              </w:rPr>
            </w:pPr>
          </w:p>
        </w:tc>
        <w:tc>
          <w:tcPr>
            <w:tcW w:w="4840" w:type="dxa"/>
            <w:vAlign w:val="bottom"/>
            <w:gridSpan w:val="5"/>
            <w:vMerge w:val="continue"/>
          </w:tcPr>
          <w:p>
            <w:pPr>
              <w:spacing w:after="0"/>
              <w:rPr>
                <w:sz w:val="14"/>
                <w:szCs w:val="14"/>
                <w:color w:val="auto"/>
              </w:rPr>
            </w:pPr>
          </w:p>
        </w:tc>
        <w:tc>
          <w:tcPr>
            <w:tcW w:w="9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at December 31, 2025 and 2024</w:t>
            </w: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Operations for each of the two years in the period ended December 31, 2025</w:t>
            </w:r>
          </w:p>
        </w:tc>
        <w:tc>
          <w:tcPr>
            <w:tcW w:w="20" w:type="dxa"/>
            <w:vAlign w:val="bottom"/>
            <w:tcBorders>
              <w:bottom w:val="single" w:sz="8" w:color="0000EE"/>
            </w:tcBorders>
          </w:tcPr>
          <w:p>
            <w:pPr>
              <w:spacing w:after="0"/>
              <w:rPr>
                <w:sz w:val="17"/>
                <w:szCs w:val="17"/>
                <w:color w:val="auto"/>
              </w:rPr>
            </w:pPr>
          </w:p>
        </w:tc>
        <w:tc>
          <w:tcPr>
            <w:tcW w:w="2780" w:type="dxa"/>
            <w:vAlign w:val="bottom"/>
            <w:gridSpan w:val="3"/>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103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 for each of the two years in the period ended December 31, 2025</w:t>
            </w: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4440" w:type="dxa"/>
            <w:vAlign w:val="bottom"/>
            <w:gridSpan w:val="5"/>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 for each of the two years in the period ended December 31, 2025</w:t>
            </w:r>
          </w:p>
        </w:tc>
        <w:tc>
          <w:tcPr>
            <w:tcW w:w="206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each of the two years in the period ended December 31, 2025</w:t>
            </w:r>
          </w:p>
        </w:tc>
        <w:tc>
          <w:tcPr>
            <w:tcW w:w="2740" w:type="dxa"/>
            <w:vAlign w:val="bottom"/>
            <w:gridSpan w:val="2"/>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180" w:type="dxa"/>
            <w:vAlign w:val="bottom"/>
            <w:gridSpan w:val="7"/>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885"/>
        </w:trPr>
        <w:tc>
          <w:tcPr>
            <w:tcW w:w="7540" w:type="dxa"/>
            <w:vAlign w:val="bottom"/>
            <w:gridSpan w:val="4"/>
          </w:tcPr>
          <w:p>
            <w:pPr>
              <w:jc w:val="center"/>
              <w:ind w:left="3630"/>
              <w:spacing w:after="0"/>
              <w:rPr>
                <w:sz w:val="20"/>
                <w:szCs w:val="20"/>
                <w:color w:val="auto"/>
              </w:rPr>
            </w:pPr>
            <w:r>
              <w:rPr>
                <w:rFonts w:ascii="Times New Roman" w:cs="Times New Roman" w:eastAsia="Times New Roman" w:hAnsi="Times New Roman"/>
                <w:sz w:val="18"/>
                <w:szCs w:val="18"/>
                <w:color w:val="auto"/>
                <w:w w:val="99"/>
              </w:rPr>
              <w:t>63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360" w:firstLine="3362"/>
        <w:spacing w:after="0" w:line="477"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the Board of Directors of Nektar Therapeutics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Nektar Therapeutics (the Company) as of December 31, 2025 and 2024, the related consolidated statements of operations,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i w:val="1"/>
          <w:iCs w:val="1"/>
          <w:color w:val="auto"/>
        </w:rPr>
        <w:t>Accrued clinical trial expenses</w:t>
      </w:r>
    </w:p>
    <w:p>
      <w:pPr>
        <w:sectPr>
          <w:pgSz w:w="11900" w:h="16838" w:orient="portrait"/>
          <w:cols w:equalWidth="0" w:num="1">
            <w:col w:w="11100"/>
          </w:cols>
          <w:pgMar w:left="320" w:top="117" w:right="479" w:bottom="1440" w:gutter="0" w:footer="0" w:header="0"/>
        </w:sect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described in Note 1 to the consolidated financial statements, the Company records expenses and accruals for estimated costs of research and development activities, including third party contract service expenses for clinical trials. The Company determines accruals for clinical trials based on a number of factors, including the Company’s knowledge of the research and development programs, the status of the programs and activities, invoicing and payments to date, and the provisions in the contracts with the respective Clinical Research Organizations (“CRO”). The Company’s accrued research and development expenses as of December 31, 2025 were $14.0 million, a portion of which relates to accrued clinical trial expenses.</w:t>
      </w:r>
    </w:p>
    <w:p>
      <w:pPr>
        <w:spacing w:after="0" w:line="200" w:lineRule="exact"/>
        <w:rPr>
          <w:sz w:val="20"/>
          <w:szCs w:val="20"/>
          <w:color w:val="auto"/>
        </w:rPr>
      </w:pPr>
    </w:p>
    <w:p>
      <w:pPr>
        <w:sectPr>
          <w:pgSz w:w="11900" w:h="16838" w:orient="portrait"/>
          <w:cols w:equalWidth="0" w:num="2">
            <w:col w:w="1980" w:space="720"/>
            <w:col w:w="8400"/>
          </w:cols>
          <w:pgMar w:left="320" w:top="117" w:right="479" w:bottom="1440" w:gutter="0" w:footer="0" w:header="0"/>
          <w:type w:val="continuous"/>
        </w:sectPr>
      </w:pPr>
    </w:p>
    <w:p>
      <w:pPr>
        <w:spacing w:after="0" w:line="137" w:lineRule="exact"/>
        <w:rPr>
          <w:sz w:val="20"/>
          <w:szCs w:val="20"/>
          <w:color w:val="auto"/>
        </w:rPr>
      </w:pPr>
    </w:p>
    <w:p>
      <w:pPr>
        <w:ind w:left="2700" w:right="340"/>
        <w:spacing w:after="0" w:line="266" w:lineRule="auto"/>
        <w:rPr>
          <w:sz w:val="20"/>
          <w:szCs w:val="20"/>
          <w:color w:val="auto"/>
        </w:rPr>
      </w:pPr>
      <w:r>
        <w:rPr>
          <w:rFonts w:ascii="Times New Roman" w:cs="Times New Roman" w:eastAsia="Times New Roman" w:hAnsi="Times New Roman"/>
          <w:sz w:val="18"/>
          <w:szCs w:val="18"/>
          <w:color w:val="auto"/>
        </w:rPr>
        <w:t>Auditing the Company’s accounting for accrued clinical trial expenses is especially challenging because the evaluation is dependent on a high volume of data exchanged between CROs, internal clinical personnel, and the Company’s finance department.</w:t>
      </w:r>
    </w:p>
    <w:p>
      <w:pPr>
        <w:sectPr>
          <w:pgSz w:w="11900" w:h="16838" w:orient="portrait"/>
          <w:cols w:equalWidth="0" w:num="1">
            <w:col w:w="11100"/>
          </w:cols>
          <w:pgMar w:left="320" w:top="117" w:right="479" w:bottom="1440" w:gutter="0" w:footer="0" w:header="0"/>
          <w:type w:val="continuous"/>
        </w:sectPr>
      </w:pPr>
    </w:p>
    <w:p>
      <w:pPr>
        <w:spacing w:after="0" w:line="17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test accrued clinical trial expenses, our audit procedures included, among others, i) inspecting terms and conditions for selected CRO contracts, ii) meeting with internal clinical personnel to understand the status of clinical activities for selected trials, iii) testing management’s determination of work performed by CROs by inspecting the terms and timelines of significant trials, iv) obtaining external confirmations from selected CROs, and v) inspecting selected invoices received and payments processed after the balance sheet date to determine whether services performed prior to the balance sheet date have been properly accrued for as of December 31, 2025.</w:t>
      </w:r>
    </w:p>
    <w:p>
      <w:pPr>
        <w:spacing w:after="0" w:line="200" w:lineRule="exact"/>
        <w:rPr>
          <w:sz w:val="20"/>
          <w:szCs w:val="20"/>
          <w:color w:val="auto"/>
        </w:rPr>
      </w:pPr>
    </w:p>
    <w:p>
      <w:pPr>
        <w:sectPr>
          <w:pgSz w:w="11900" w:h="16838" w:orient="portrait"/>
          <w:cols w:equalWidth="0" w:num="2">
            <w:col w:w="2400" w:space="300"/>
            <w:col w:w="8400"/>
          </w:cols>
          <w:pgMar w:left="320" w:top="117" w:right="479"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vMerge w:val="restart"/>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3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15,116</w:t>
            </w:r>
          </w:p>
        </w:tc>
        <w:tc>
          <w:tcPr>
            <w:tcW w:w="1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0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Other current assets (including $429 and $0 as of December 31, 2025 and 2024, respectively, from</w:t>
            </w:r>
          </w:p>
        </w:tc>
        <w:tc>
          <w:tcPr>
            <w:tcW w:w="36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 related party)</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 in Gannet BioChem</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280,406</w:t>
            </w:r>
          </w:p>
        </w:tc>
        <w:tc>
          <w:tcPr>
            <w:tcW w:w="1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ind w:left="18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0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Accounts payable (including $137 and $0 as of December 31, 2025 and 2024, respectively, to a</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related party)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10,770</w:t>
            </w:r>
          </w:p>
        </w:tc>
        <w:tc>
          <w:tcPr>
            <w:tcW w:w="18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0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Accrued expenses (including $994 and $3,403 as of December 31, 2025 and 2024, respectively, to a</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related party)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65,256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related to the sales of future royalties,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0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designated or</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outstanding at December 31, 2025 or 2024, respectively</w:t>
            </w:r>
          </w:p>
        </w:tc>
        <w:tc>
          <w:tcPr>
            <w:tcW w:w="36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0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390,000,000 shares and 300,000,000 shares authorized at</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2025 and 2024, respectively; 20,378,832 shares and 12,937,308 shares issued at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2025 and 2024, respectively; 20,378,832 shares and 12,385,001 shares outstanding at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2025 and 2024, respectively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3,850,099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3,659,885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0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Treasury stock, at cost; 0 shares and 552,307 shares as of December 31, 2025 and 2024,</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(3,760,286)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(3,596,210)</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60,737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280,406</w:t>
            </w:r>
          </w:p>
        </w:tc>
        <w:tc>
          <w:tcPr>
            <w:tcW w:w="180" w:type="dxa"/>
            <w:vAlign w:val="bottom"/>
          </w:tcPr>
          <w:p>
            <w:pPr>
              <w:spacing w:after="0"/>
              <w:rPr>
                <w:sz w:val="18"/>
                <w:szCs w:val="18"/>
                <w:color w:val="auto"/>
              </w:rPr>
            </w:pP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-5699760</wp:posOffset>
            </wp:positionV>
            <wp:extent cx="2168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-4773930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-4773930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-3942715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-3942715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-2811145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-2811145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-2253615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-2253615</wp:posOffset>
            </wp:positionV>
            <wp:extent cx="77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All share and per share amounts have been retrospectively adjusted to reflect a one-for-fifteen reverse stock split (see Note 8).</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1"/>
              <w:spacing w:after="0" w:line="196" w:lineRule="exact"/>
              <w:rPr>
                <w:sz w:val="20"/>
                <w:szCs w:val="20"/>
                <w:color w:val="auto"/>
              </w:rPr>
            </w:pPr>
            <w:r>
              <w:rPr>
                <w:rFonts w:ascii="Times New Roman" w:cs="Times New Roman" w:eastAsia="Times New Roman" w:hAnsi="Times New Roman"/>
                <w:sz w:val="14"/>
                <w:szCs w:val="14"/>
                <w:b w:val="1"/>
                <w:bCs w:val="1"/>
                <w:color w:val="auto"/>
              </w:rPr>
              <w:t>2024</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54,932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64,267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 collaboration and other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55,232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Research and development (including $2,636 and $277 for the year ended December 31, 2025 and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 respectively, from a related party)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117,330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68,673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impairment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sale of the Huntsville manufacturing facility</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(40,390)</w:t>
            </w: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195,334</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203,625</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(140,102)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(105,198)</w:t>
            </w: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expense on liabilities related to the sales of future royalties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(26,184)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(28,112)</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0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Other income (expense), net (including $1,110 and $0 for the year ended December 31, 2025 and</w:t>
            </w:r>
          </w:p>
        </w:tc>
        <w:tc>
          <w:tcPr>
            <w:tcW w:w="36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21"/>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2024, respectively, from a related party)</w:t>
            </w:r>
          </w:p>
        </w:tc>
        <w:tc>
          <w:tcPr>
            <w:tcW w:w="360" w:type="dxa"/>
            <w:vAlign w:val="bottom"/>
            <w:shd w:val="clear" w:color="auto" w:fill="CFF0FC"/>
          </w:tcPr>
          <w:p>
            <w:pPr>
              <w:spacing w:after="0"/>
              <w:rPr>
                <w:sz w:val="19"/>
                <w:szCs w:val="19"/>
                <w:color w:val="auto"/>
              </w:rPr>
            </w:pPr>
          </w:p>
        </w:tc>
        <w:tc>
          <w:tcPr>
            <w:tcW w:w="1200" w:type="dxa"/>
            <w:vAlign w:val="bottom"/>
            <w:vMerge w:val="continue"/>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(15,385)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benefit for income taxes and equity method investment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(155,487)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(119,200)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equity method investment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(155,349)</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(118,961)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(164,076)</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(118,961)</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used in computing basic and diluted net loss per share</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16,870,930</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13,710,775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-3291205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-3291205</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-2322195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-2322195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-2030730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-2030730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-1345565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-1345565</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-488315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-471170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-488315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All share and per share amounts have been retrospectively adjusted to reflect a one-for-fifteen reverse stock split (see Note 8).</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(164,076)</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(118,961)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unrealized loss on available-for-sale investments</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(164,120)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(118,980)</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Balance at December 31, 2023</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Shares issued under equity compensation</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plans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9" w:lineRule="exact"/>
        <w:rPr>
          <w:sz w:val="20"/>
          <w:szCs w:val="20"/>
          <w:color w:val="auto"/>
        </w:rPr>
      </w:pPr>
    </w:p>
    <w:p>
      <w:pPr>
        <w:ind w:left="120" w:right="60"/>
        <w:spacing w:after="0" w:line="264" w:lineRule="auto"/>
        <w:rPr>
          <w:sz w:val="20"/>
          <w:szCs w:val="20"/>
          <w:color w:val="auto"/>
        </w:rPr>
      </w:pPr>
      <w:r>
        <w:rPr>
          <w:rFonts w:ascii="Times New Roman" w:cs="Times New Roman" w:eastAsia="Times New Roman" w:hAnsi="Times New Roman"/>
          <w:sz w:val="16"/>
          <w:szCs w:val="16"/>
          <w:color w:val="auto"/>
        </w:rPr>
        <w:t>Repurchase of common stock from Bristol-Myers Squibb</w:t>
      </w:r>
    </w:p>
    <w:p>
      <w:pPr>
        <w:ind w:left="120" w:right="900"/>
        <w:spacing w:after="0" w:line="288" w:lineRule="auto"/>
        <w:rPr>
          <w:sz w:val="20"/>
          <w:szCs w:val="20"/>
          <w:color w:val="auto"/>
        </w:rPr>
      </w:pPr>
      <w:r>
        <w:rPr>
          <w:rFonts w:ascii="Times New Roman" w:cs="Times New Roman" w:eastAsia="Times New Roman" w:hAnsi="Times New Roman"/>
          <w:sz w:val="16"/>
          <w:szCs w:val="16"/>
          <w:color w:val="auto"/>
        </w:rPr>
        <w:t>Issuance of prefunded warrant Comprehensive loss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Balance at December 31, 2024</w:t>
      </w:r>
    </w:p>
    <w:p>
      <w:pPr>
        <w:spacing w:after="0" w:line="1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Shares issued under equity compensation</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plans</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9" w:lineRule="exact"/>
        <w:rPr>
          <w:sz w:val="20"/>
          <w:szCs w:val="20"/>
          <w:color w:val="auto"/>
        </w:rPr>
      </w:pPr>
    </w:p>
    <w:p>
      <w:pPr>
        <w:jc w:val="both"/>
        <w:ind w:left="120"/>
        <w:spacing w:after="0" w:line="264" w:lineRule="auto"/>
        <w:rPr>
          <w:sz w:val="20"/>
          <w:szCs w:val="20"/>
          <w:color w:val="auto"/>
        </w:rPr>
      </w:pPr>
      <w:r>
        <w:rPr>
          <w:rFonts w:ascii="Times New Roman" w:cs="Times New Roman" w:eastAsia="Times New Roman" w:hAnsi="Times New Roman"/>
          <w:sz w:val="16"/>
          <w:szCs w:val="16"/>
          <w:color w:val="auto"/>
        </w:rPr>
        <w:t>Shares issued under secondary offering, net of underwriting discounts and offering costs of $7,840</w:t>
      </w:r>
    </w:p>
    <w:p>
      <w:pPr>
        <w:ind w:left="120" w:right="80"/>
        <w:spacing w:after="0" w:line="264" w:lineRule="auto"/>
        <w:rPr>
          <w:sz w:val="20"/>
          <w:szCs w:val="20"/>
          <w:color w:val="auto"/>
        </w:rPr>
      </w:pPr>
      <w:r>
        <w:rPr>
          <w:rFonts w:ascii="Times New Roman" w:cs="Times New Roman" w:eastAsia="Times New Roman" w:hAnsi="Times New Roman"/>
          <w:sz w:val="16"/>
          <w:szCs w:val="16"/>
          <w:color w:val="auto"/>
        </w:rPr>
        <w:t>Shares issued under at-the-market offering, net of commissions and offering costs of $2,460</w:t>
      </w:r>
    </w:p>
    <w:p>
      <w:pPr>
        <w:ind w:left="120" w:right="180"/>
        <w:spacing w:after="0" w:line="277" w:lineRule="auto"/>
        <w:rPr>
          <w:sz w:val="20"/>
          <w:szCs w:val="20"/>
          <w:color w:val="auto"/>
        </w:rPr>
      </w:pPr>
      <w:r>
        <w:rPr>
          <w:rFonts w:ascii="Times New Roman" w:cs="Times New Roman" w:eastAsia="Times New Roman" w:hAnsi="Times New Roman"/>
          <w:sz w:val="16"/>
          <w:szCs w:val="16"/>
          <w:color w:val="auto"/>
        </w:rPr>
        <w:t>Shares issued upon exercise of prefunded warrant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3"/>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gridSpan w:val="4"/>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0"/>
        </w:trPr>
        <w:tc>
          <w:tcPr>
            <w:tcW w:w="1540" w:type="dxa"/>
            <w:vAlign w:val="bottom"/>
            <w:tcBorders>
              <w:bottom w:val="single" w:sz="8" w:color="auto"/>
            </w:tcBorders>
            <w:gridSpan w:val="4"/>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7"/>
              </w:rPr>
              <w:t>sive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199"/>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100" w:type="dxa"/>
            <w:vAlign w:val="bottom"/>
          </w:tcPr>
          <w:p>
            <w:pPr>
              <w:spacing w:after="0"/>
              <w:rPr>
                <w:sz w:val="13"/>
                <w:szCs w:val="13"/>
                <w:color w:val="auto"/>
              </w:rPr>
            </w:pPr>
          </w:p>
        </w:tc>
        <w:tc>
          <w:tcPr>
            <w:tcW w:w="8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w:t>
            </w:r>
          </w:p>
        </w:tc>
        <w:tc>
          <w:tcPr>
            <w:tcW w:w="0" w:type="dxa"/>
            <w:vAlign w:val="bottom"/>
          </w:tcPr>
          <w:p>
            <w:pPr>
              <w:spacing w:after="0"/>
              <w:rPr>
                <w:sz w:val="1"/>
                <w:szCs w:val="1"/>
                <w:color w:val="auto"/>
              </w:rPr>
            </w:pPr>
          </w:p>
        </w:tc>
      </w:tr>
      <w:tr>
        <w:trPr>
          <w:trHeight w:val="117"/>
        </w:trPr>
        <w:tc>
          <w:tcPr>
            <w:tcW w:w="86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9"/>
                <w:szCs w:val="19"/>
                <w:b w:val="1"/>
                <w:bCs w:val="1"/>
                <w:color w:val="auto"/>
                <w:vertAlign w:val="superscript"/>
              </w:rPr>
              <w:t>(1)</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9"/>
                <w:szCs w:val="19"/>
                <w:b w:val="1"/>
                <w:bCs w:val="1"/>
                <w:color w:val="auto"/>
                <w:vertAlign w:val="superscript"/>
              </w:rPr>
              <w:t>(1)</w:t>
            </w:r>
          </w:p>
        </w:tc>
        <w:tc>
          <w:tcPr>
            <w:tcW w:w="260" w:type="dxa"/>
            <w:vAlign w:val="bottom"/>
          </w:tcPr>
          <w:p>
            <w:pPr>
              <w:spacing w:after="0"/>
              <w:rPr>
                <w:sz w:val="10"/>
                <w:szCs w:val="10"/>
                <w:color w:val="auto"/>
              </w:rPr>
            </w:pPr>
          </w:p>
        </w:tc>
        <w:tc>
          <w:tcPr>
            <w:tcW w:w="82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9"/>
                <w:szCs w:val="19"/>
                <w:b w:val="1"/>
                <w:bCs w:val="1"/>
                <w:color w:val="auto"/>
                <w:vertAlign w:val="superscript"/>
              </w:rPr>
              <w:t>(1)</w:t>
            </w:r>
          </w:p>
        </w:tc>
        <w:tc>
          <w:tcPr>
            <w:tcW w:w="2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68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Par Value</w:t>
            </w:r>
            <w:r>
              <w:rPr>
                <w:rFonts w:ascii="Times New Roman" w:cs="Times New Roman" w:eastAsia="Times New Roman" w:hAnsi="Times New Roman"/>
                <w:sz w:val="19"/>
                <w:szCs w:val="19"/>
                <w:b w:val="1"/>
                <w:bCs w:val="1"/>
                <w:color w:val="auto"/>
                <w:w w:val="95"/>
                <w:vertAlign w:val="superscript"/>
              </w:rPr>
              <w:t>(1)</w:t>
            </w:r>
          </w:p>
        </w:tc>
        <w:tc>
          <w:tcPr>
            <w:tcW w:w="1140" w:type="dxa"/>
            <w:vAlign w:val="bottom"/>
            <w:gridSpan w:val="4"/>
          </w:tcPr>
          <w:p>
            <w:pPr>
              <w:jc w:val="center"/>
              <w:ind w:left="6"/>
              <w:spacing w:after="0" w:line="118" w:lineRule="exact"/>
              <w:rPr>
                <w:sz w:val="20"/>
                <w:szCs w:val="20"/>
                <w:color w:val="auto"/>
              </w:rPr>
            </w:pPr>
            <w:r>
              <w:rPr>
                <w:rFonts w:ascii="Times New Roman" w:cs="Times New Roman" w:eastAsia="Times New Roman" w:hAnsi="Times New Roman"/>
                <w:sz w:val="13"/>
                <w:szCs w:val="13"/>
                <w:b w:val="1"/>
                <w:bCs w:val="1"/>
                <w:color w:val="auto"/>
              </w:rPr>
              <w:t>Income/(Los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8"/>
              </w:rPr>
              <w: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12,757,98</w:t>
            </w:r>
          </w:p>
        </w:tc>
        <w:tc>
          <w:tcPr>
            <w:tcW w:w="140" w:type="dxa"/>
            <w:vAlign w:val="bottom"/>
          </w:tcPr>
          <w:p>
            <w:pPr>
              <w:spacing w:after="0"/>
              <w:rPr>
                <w:sz w:val="20"/>
                <w:szCs w:val="20"/>
                <w:color w:val="auto"/>
              </w:rPr>
            </w:pPr>
          </w:p>
        </w:tc>
        <w:tc>
          <w:tcPr>
            <w:tcW w:w="540" w:type="dxa"/>
            <w:vAlign w:val="bottom"/>
            <w:gridSpan w:val="2"/>
          </w:tcPr>
          <w:p>
            <w:pPr>
              <w:jc w:val="right"/>
              <w:ind w:right="288"/>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20"/>
                <w:szCs w:val="20"/>
                <w:color w:val="auto"/>
              </w:rPr>
            </w:pPr>
          </w:p>
        </w:tc>
        <w:tc>
          <w:tcPr>
            <w:tcW w:w="1140" w:type="dxa"/>
            <w:vAlign w:val="bottom"/>
            <w:gridSpan w:val="3"/>
          </w:tcPr>
          <w:p>
            <w:pPr>
              <w:jc w:val="center"/>
              <w:ind w:left="541"/>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$ 3,608,155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(3,477,24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130,987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21,612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(552,307)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552,307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303"/>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(118,961)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(118,980)</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12,385,00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552,307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3,659,885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(3,596,21</w:t>
            </w:r>
          </w:p>
        </w:tc>
        <w:tc>
          <w:tcPr>
            <w:tcW w:w="140" w:type="dxa"/>
            <w:vAlign w:val="bottom"/>
            <w:vMerge w:val="continue"/>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60,737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159,623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12,649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4,893,618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(552,307)</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104,159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107,160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1,273,923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72,540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72,540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1,666,667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-1907540</wp:posOffset>
            </wp:positionH>
            <wp:positionV relativeFrom="paragraph">
              <wp:posOffset>-2764155</wp:posOffset>
            </wp:positionV>
            <wp:extent cx="7054850"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54850" cy="25717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-2249805</wp:posOffset>
            </wp:positionV>
            <wp:extent cx="7054850"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-1864360</wp:posOffset>
            </wp:positionV>
            <wp:extent cx="7054850"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-1598295</wp:posOffset>
            </wp:positionV>
            <wp:extent cx="7054850" cy="257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54850" cy="25717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-1083945</wp:posOffset>
            </wp:positionV>
            <wp:extent cx="705485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54850" cy="12890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-569595</wp:posOffset>
            </wp:positionV>
            <wp:extent cx="7054850" cy="3860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54850" cy="386080"/>
                    </a:xfrm>
                    <a:prstGeom prst="rect">
                      <a:avLst/>
                    </a:prstGeom>
                    <a:noFill/>
                  </pic:spPr>
                </pic:pic>
              </a:graphicData>
            </a:graphic>
          </wp:anchor>
        </w:drawing>
      </w:r>
    </w:p>
    <w:p>
      <w:pPr>
        <w:spacing w:after="0" w:line="128" w:lineRule="exact"/>
        <w:rPr>
          <w:sz w:val="20"/>
          <w:szCs w:val="20"/>
          <w:color w:val="auto"/>
        </w:rPr>
      </w:pPr>
    </w:p>
    <w:p>
      <w:pPr>
        <w:sectPr>
          <w:pgSz w:w="11900" w:h="16838" w:orient="portrait"/>
          <w:cols w:equalWidth="0" w:num="2">
            <w:col w:w="3000" w:space="80"/>
            <w:col w:w="8100"/>
          </w:cols>
          <w:pgMar w:left="320" w:top="117" w:right="399" w:bottom="1440" w:gutter="0" w:footer="0" w:header="0"/>
          <w:type w:val="continuous"/>
        </w:sect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Comprehensive loss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6"/>
                <w:szCs w:val="16"/>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(164,076)</w:t>
            </w:r>
          </w:p>
        </w:tc>
        <w:tc>
          <w:tcPr>
            <w:tcW w:w="1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(164,120)</w:t>
            </w: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63"/>
        </w:trPr>
        <w:tc>
          <w:tcPr>
            <w:tcW w:w="3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20,378,83</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22"/>
                <w:szCs w:val="22"/>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$ 3,850,099</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jc w:val="right"/>
              <w:ind w:right="60"/>
              <w:spacing w:after="0" w:line="264" w:lineRule="exact"/>
              <w:rPr>
                <w:sz w:val="20"/>
                <w:szCs w:val="20"/>
                <w:color w:val="auto"/>
              </w:rPr>
            </w:pPr>
            <w:r>
              <w:rPr>
                <w:rFonts w:ascii="Times New Roman" w:cs="Times New Roman" w:eastAsia="Times New Roman" w:hAnsi="Times New Roman"/>
                <w:sz w:val="16"/>
                <w:szCs w:val="16"/>
                <w:color w:val="auto"/>
              </w:rPr>
              <w:t>(3,760,28</w:t>
            </w:r>
            <w:r>
              <w:rPr>
                <w:rFonts w:ascii="Times New Roman" w:cs="Times New Roman" w:eastAsia="Times New Roman" w:hAnsi="Times New Roman"/>
                <w:sz w:val="30"/>
                <w:szCs w:val="30"/>
                <w:color w:val="auto"/>
                <w:vertAlign w:val="subscript"/>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89,832</w:t>
            </w:r>
          </w:p>
        </w:tc>
        <w:tc>
          <w:tcPr>
            <w:tcW w:w="100" w:type="dxa"/>
            <w:vAlign w:val="bottom"/>
          </w:tcPr>
          <w:p>
            <w:pPr>
              <w:spacing w:after="0"/>
              <w:rPr>
                <w:sz w:val="22"/>
                <w:szCs w:val="22"/>
                <w:color w:val="auto"/>
              </w:rPr>
            </w:pPr>
          </w:p>
        </w:tc>
      </w:tr>
      <w:tr>
        <w:trPr>
          <w:trHeight w:val="135"/>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5"/>
                <w:szCs w:val="15"/>
                <w:color w:val="auto"/>
              </w:rPr>
              <w:t>2</w:t>
            </w:r>
          </w:p>
        </w:tc>
        <w:tc>
          <w:tcPr>
            <w:tcW w:w="2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5"/>
                <w:szCs w:val="15"/>
                <w:color w:val="auto"/>
              </w:rPr>
              <w:t>6</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-290830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-290830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-290830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-290830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-290830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-290830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-290830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-290830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All share and per share amounts have been retrospectively adjusted to reflect a one-for-fifteen reverse stock split (see Note 8).</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58"/>
        </w:trPr>
        <w:tc>
          <w:tcPr>
            <w:tcW w:w="7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80" w:type="dxa"/>
            <w:vAlign w:val="bottom"/>
            <w:gridSpan w:val="6"/>
          </w:tcPr>
          <w:p>
            <w:pPr>
              <w:jc w:val="right"/>
              <w:ind w:right="1020"/>
              <w:spacing w:after="0" w:line="157" w:lineRule="exact"/>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7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(164,076)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(118,961)</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royalty revenue related to the sales of future royalties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(54,932)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(64,267)</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expense on liabilities related to sales of future royalties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Impairment of right-of-use assets and property and equipment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the Huntsville manufacturing facility</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(40,390)</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net realizable value of inventory</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premiums (discounts), net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(9,245)</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(3,045)</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net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(12,905)</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(15,449)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(4,187)</w:t>
            </w: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(5,785)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20" w:type="dxa"/>
            <w:vAlign w:val="bottom"/>
            <w:shd w:val="clear" w:color="auto" w:fill="CFF0FC"/>
          </w:tcPr>
          <w:p>
            <w:pPr>
              <w:spacing w:after="0"/>
              <w:rPr>
                <w:sz w:val="18"/>
                <w:szCs w:val="18"/>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(208,511)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(175,709)</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(285,012)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(261,709)</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284,683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340,361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(payments) relating to the sale of the Huntsville manufacturing facility, net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(1,468)</w:t>
            </w: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142,570</w:t>
            </w:r>
          </w:p>
        </w:tc>
        <w:tc>
          <w:tcPr>
            <w:tcW w:w="120" w:type="dxa"/>
            <w:vAlign w:val="bottom"/>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secondary offering, net of underwriting discounts of $6,900</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at-the-market offering, net of commissions of $2,250</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72,750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offering costs associated with issuance of common stock</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 of TCG pre-funded warrant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future royalties</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Repurchase of common stock from Bristol-Myers Squibb</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shares issued under equity compensation plans and TCG pre-funded warrant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180,566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rates on cash and cash equivalents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(29,136)</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35,277</w:t>
            </w:r>
          </w:p>
        </w:tc>
        <w:tc>
          <w:tcPr>
            <w:tcW w:w="120" w:type="dxa"/>
            <w:vAlign w:val="bottom"/>
          </w:tcPr>
          <w:p>
            <w:pPr>
              <w:spacing w:after="0"/>
              <w:rPr>
                <w:sz w:val="18"/>
                <w:szCs w:val="18"/>
                <w:color w:val="auto"/>
              </w:rPr>
            </w:pPr>
          </w:p>
        </w:tc>
      </w:tr>
      <w:tr>
        <w:trPr>
          <w:trHeight w:val="25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15,116</w:t>
            </w:r>
          </w:p>
        </w:tc>
        <w:tc>
          <w:tcPr>
            <w:tcW w:w="18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44,252</w:t>
            </w:r>
          </w:p>
        </w:tc>
        <w:tc>
          <w:tcPr>
            <w:tcW w:w="120" w:type="dxa"/>
            <w:vAlign w:val="bottom"/>
            <w:shd w:val="clear" w:color="auto" w:fill="CFF0FC"/>
          </w:tcPr>
          <w:p>
            <w:pPr>
              <w:spacing w:after="0"/>
              <w:rPr>
                <w:sz w:val="21"/>
                <w:szCs w:val="21"/>
                <w:color w:val="auto"/>
              </w:rPr>
            </w:pPr>
          </w:p>
        </w:tc>
      </w:tr>
      <w:tr>
        <w:trPr>
          <w:trHeight w:val="196"/>
        </w:trPr>
        <w:tc>
          <w:tcPr>
            <w:tcW w:w="7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198"/>
        </w:trPr>
        <w:tc>
          <w:tcPr>
            <w:tcW w:w="7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Fair value of equity method investment in Gannet BioChem received in exchange for sale of Huntsville</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facility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20" w:type="dxa"/>
            <w:vAlign w:val="bottom"/>
            <w:shd w:val="clear" w:color="auto" w:fill="CFF0FC"/>
          </w:tcPr>
          <w:p>
            <w:pPr>
              <w:spacing w:after="0"/>
              <w:rPr>
                <w:sz w:val="20"/>
                <w:szCs w:val="20"/>
                <w:color w:val="auto"/>
              </w:rPr>
            </w:pPr>
          </w:p>
        </w:tc>
      </w:tr>
      <w:tr>
        <w:trPr>
          <w:trHeight w:val="198"/>
        </w:trPr>
        <w:tc>
          <w:tcPr>
            <w:tcW w:w="7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and net working capital adjustment for sale of Huntsville manufacturing facility</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included in accounts payable and accrued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20"/>
                <w:szCs w:val="20"/>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paid (refund) for income taxes, net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-3808730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-3808730</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-2981325</wp:posOffset>
            </wp:positionV>
            <wp:extent cx="102870" cy="1797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-1570990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-1570990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-996950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-979805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-996950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-979805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18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Summary of Significant Accounting Policies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ind w:right="40" w:firstLine="644"/>
        <w:spacing w:after="0" w:line="253" w:lineRule="auto"/>
        <w:rPr>
          <w:sz w:val="20"/>
          <w:szCs w:val="20"/>
          <w:color w:val="auto"/>
        </w:rPr>
      </w:pPr>
      <w:r>
        <w:rPr>
          <w:rFonts w:ascii="Times New Roman" w:cs="Times New Roman" w:eastAsia="Times New Roman" w:hAnsi="Times New Roman"/>
          <w:sz w:val="18"/>
          <w:szCs w:val="18"/>
          <w:color w:val="auto"/>
        </w:rPr>
        <w:t>Nektar Therapeutics (Nektar, we) is a clinical stage, research-based drug discovery biopharmaceutical company headquartered in San Francisco, California and incorporated in Delaware, focused on discovering and developing innovative medicines in the field of immunotherapy. Within this growing field, we direct our efforts toward creating new immunomodulatory agents that selectively induce, amplify, attenuate or prevent immune responses in order to achieve desired therapeutic outcomes. Our pipeline of clinical-stage and preclinical-stage immunomodulatory agents targets the treatment of autoimmune diseases (e.g. rezpegaldesleukin and NKTR-0165 and-0166, respectively) and cancer (e.g. NKTR-255). We are conducting Phase 2b trials of rezpegaldesleukin in patients with moderate-to-severe atopic dermatitis which we initiated in October 2023 (the Phase 2b REZOLVE-AD trial) and in patients with severe-to-very severe alopecia areata which we initiated in March 2024 (the Phase 2b REZOLVE-AA trial). On February 24, 2025, we announced that we had entered into a collaboration agreement with TrialNet to evaluate rezpegaldesleukin in patients with new onset stage 3 type 1 diabetes mellitus in a Phase 2 study. TrialNet will conduct the study with funding from the National Institutes of Health, primarily through the Special Statutory Funding Program for Type 1 Diabetes through the National Institute of Diabetes and Digestive and Kidney Diseases. Nektar will supply rezpegaldesleukin for the study and will retain all rights to the rezpegaldesleukin program under the collaboration.</w:t>
      </w:r>
    </w:p>
    <w:p>
      <w:pPr>
        <w:spacing w:after="0" w:line="165"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On June 24, 2025 and February 10, 2026, we announced data from the 16-week induction period and 36-week maintenance period, respectively, of the ongoing Phase 2b REZOLVE-AD trial being conducted in 393 patients.</w:t>
      </w:r>
    </w:p>
    <w:p>
      <w:pPr>
        <w:spacing w:after="0" w:line="121" w:lineRule="exact"/>
        <w:rPr>
          <w:sz w:val="20"/>
          <w:szCs w:val="20"/>
          <w:color w:val="auto"/>
        </w:rPr>
      </w:pPr>
    </w:p>
    <w:p>
      <w:pPr>
        <w:ind w:right="180" w:firstLine="644"/>
        <w:spacing w:after="0" w:line="282" w:lineRule="auto"/>
        <w:rPr>
          <w:sz w:val="20"/>
          <w:szCs w:val="20"/>
          <w:color w:val="auto"/>
        </w:rPr>
      </w:pPr>
      <w:r>
        <w:rPr>
          <w:rFonts w:ascii="Times New Roman" w:cs="Times New Roman" w:eastAsia="Times New Roman" w:hAnsi="Times New Roman"/>
          <w:sz w:val="18"/>
          <w:szCs w:val="18"/>
          <w:color w:val="auto"/>
        </w:rPr>
        <w:t>On December 16, 2025, we announced data from the 36-week induction period of the ongoing Phase 2b REZOLVE-AA trial being conducted in 92 patients.</w:t>
      </w:r>
    </w:p>
    <w:p>
      <w:pPr>
        <w:spacing w:after="0" w:line="121" w:lineRule="exact"/>
        <w:rPr>
          <w:sz w:val="20"/>
          <w:szCs w:val="20"/>
          <w:color w:val="auto"/>
        </w:rPr>
      </w:pPr>
    </w:p>
    <w:p>
      <w:pPr>
        <w:ind w:right="220" w:firstLine="644"/>
        <w:spacing w:after="0" w:line="261" w:lineRule="auto"/>
        <w:rPr>
          <w:sz w:val="20"/>
          <w:szCs w:val="20"/>
          <w:color w:val="auto"/>
        </w:rPr>
      </w:pPr>
      <w:r>
        <w:rPr>
          <w:rFonts w:ascii="Times New Roman" w:cs="Times New Roman" w:eastAsia="Times New Roman" w:hAnsi="Times New Roman"/>
          <w:sz w:val="18"/>
          <w:szCs w:val="18"/>
          <w:color w:val="auto"/>
        </w:rPr>
        <w:t>Our research and development activities have required significant ongoing investment to date and are expected to continue to require significant investment. As a result, we expect to continue to incur substantial losses and negative cash flows from operations in the future. We have financed our operations primarily through cash generated from licensing, collaboration and manufacturing agreements and financing transactions. At December 31, 2025, we had approximately $245.8 million in cash and investments in marketable securities.</w:t>
      </w:r>
    </w:p>
    <w:p>
      <w:pPr>
        <w:spacing w:after="0" w:line="153"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color w:val="auto"/>
        </w:rPr>
        <w:t>As we continue our research and development activities, we will need additional cash to fund our operations. Accordingly, we may enter into new collaboration agreements or other similar transactions, and we may also seek financing transactions, which may include dilutive equity-based financings, such as an offering of our common stock. There can be no assurance that any additional collaboration agreements or financings will be available to us on commercially reasonable terms. We believe we have sufficient cash and investments in marketable securities to fund operations through at least the next twelve months from the date of the filing of these financial statements.</w:t>
      </w:r>
    </w:p>
    <w:p>
      <w:pPr>
        <w:spacing w:after="0" w:line="143" w:lineRule="exact"/>
        <w:rPr>
          <w:sz w:val="20"/>
          <w:szCs w:val="20"/>
          <w:color w:val="auto"/>
        </w:rPr>
      </w:pPr>
    </w:p>
    <w:p>
      <w:pPr>
        <w:ind w:right="140" w:firstLine="644"/>
        <w:spacing w:after="0" w:line="254" w:lineRule="auto"/>
        <w:rPr>
          <w:sz w:val="20"/>
          <w:szCs w:val="20"/>
          <w:color w:val="auto"/>
        </w:rPr>
      </w:pPr>
      <w:r>
        <w:rPr>
          <w:rFonts w:ascii="Times New Roman" w:cs="Times New Roman" w:eastAsia="Times New Roman" w:hAnsi="Times New Roman"/>
          <w:sz w:val="18"/>
          <w:szCs w:val="18"/>
          <w:color w:val="auto"/>
        </w:rPr>
        <w:t>We filed a shelf registration statement on Form S-3 and a related prospectus (the April 2025 Shelf Registration Statement) that was declared effective by the Securities and Exchange Commission (the SEC) on April 1, 2025. Pursuant to the April 2025 Shelf Registration Statement, we may offer and sell common stock, preferred stock, debt securities, warrants and or units having an aggregate public offering price of up to $300.0 million. In connection with the filing of the Shelf Registration Statement, we also entered into an equity distribution agreement (the April 2025 ATM Sales Agreement) with Piper Sandler &amp; Co. and BTIG, LLC, relating to the sale of our common stock having an aggregate offering price of up to $75.0 million (the April 2025 ATM Shares). The sales of the ATM shares could be made by any method permitted that is deemed to be an “at-the-market” equity offering as defined in Rule 415(a)(4) promulgated under the Securities Act, including sales made directly on or through Nasdaq or on any other existing trading market for our common stock. We have agreed to pay Piper Sandler &amp; Co. and BTIG, LLC a commission equal to 3.0% of the gross sales price of all common stock sold through them as sales agents.</w:t>
      </w:r>
    </w:p>
    <w:p>
      <w:pPr>
        <w:spacing w:after="0" w:line="148"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On July 2, 2025, pursuant to the April 2025 Shelf Registration Statement, we completed the sale and issuance of 4,893,618 shares of our common stock in an underwritten public offering (the 2025 Offering) at a price of $23.50 per share. The net proceeds to the Company from the 2025 Offering totaled approximately $107.2 million, after deducting underwriting discounts and commissions and offering costs. See Note 8 for additional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20" w:firstLine="644"/>
        <w:spacing w:after="0" w:line="266" w:lineRule="auto"/>
        <w:rPr>
          <w:sz w:val="20"/>
          <w:szCs w:val="20"/>
          <w:color w:val="auto"/>
        </w:rPr>
      </w:pPr>
      <w:r>
        <w:rPr>
          <w:rFonts w:ascii="Times New Roman" w:cs="Times New Roman" w:eastAsia="Times New Roman" w:hAnsi="Times New Roman"/>
          <w:sz w:val="18"/>
          <w:szCs w:val="18"/>
          <w:color w:val="auto"/>
        </w:rPr>
        <w:t>In September and October 2025, we issued 1,273,923 shares of our common stock under the April 2025 ATM Sales Agreement at a weighted average price of $58.87 per share for net proceeds of $72.5 million after deducting related commissions and offering costs. No shares remain available for issuance under the April 2025 ATM Sales Agreement.</w:t>
      </w:r>
    </w:p>
    <w:p>
      <w:pPr>
        <w:spacing w:after="0" w:line="149"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On November 12, 2025, we filed a new registration statement on Form S-3ASR and a related prospectus (the November 2025 Shelf Registration), as a “well-known seasoned issuer,” as defined in Rule 405 under the Securities Act. The November 2025 Shelf Registration became automatically effective upon filing, and permits us to offer, from time to time, an unspecified amount of common stock, preferred stock, debt securities and warrants.</w:t>
      </w:r>
    </w:p>
    <w:p>
      <w:pPr>
        <w:spacing w:after="0" w:line="135"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On February 13, 2026, we completed the sale and issuance of 7,637,931 shares of common stock at a price of $58.00 per share and 293,103 pre-funded warrants at price of $57.9999 per pre-funded warrant in an underwritten public offering (the 2026 Offering). The estimated net proceeds from the 2026 Offering totaled approximately $432.0 million, after deducting underwriting discounts and commissions and estimated offering expenses. See Note 8 for additional information.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On November 12, 2025, we also entered into a new equity distribution agreement (the November 2025 ATM Sales Agreement) with Piper Sandler</w:t>
      </w:r>
    </w:p>
    <w:p>
      <w:pPr>
        <w:spacing w:after="0" w:line="39" w:lineRule="exact"/>
        <w:rPr>
          <w:sz w:val="20"/>
          <w:szCs w:val="20"/>
          <w:color w:val="auto"/>
        </w:rPr>
      </w:pPr>
    </w:p>
    <w:p>
      <w:pPr>
        <w:ind w:firstLine="8"/>
        <w:spacing w:after="0" w:line="253" w:lineRule="auto"/>
        <w:tabs>
          <w:tab w:leader="none" w:pos="1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and BTIG, LLC, relating to the sale of our common stock having an aggregate offering price of up to $110.0 million in an “at-the-market” offering (the November 2025 ATM Shares). As of December 31, 2025, no shares were issued under the November 2025 ATM Sales Agreement. From February 20, 2026 through March 11, 2026, we issued 639,131 shares of our common stock under the November 2025 ATM Sales Agreement at a weighted average price of $71.15 per share for net proceeds of $44.1 million after deducting related commissions of approximately $1.4 million.</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of Manufacturing Facility</w:t>
      </w:r>
    </w:p>
    <w:p>
      <w:pPr>
        <w:spacing w:after="0" w:line="189" w:lineRule="exact"/>
        <w:rPr>
          <w:sz w:val="20"/>
          <w:szCs w:val="20"/>
          <w:color w:val="auto"/>
        </w:rPr>
      </w:pPr>
    </w:p>
    <w:p>
      <w:pPr>
        <w:ind w:right="280" w:firstLine="644"/>
        <w:spacing w:after="0" w:line="258" w:lineRule="auto"/>
        <w:rPr>
          <w:sz w:val="20"/>
          <w:szCs w:val="20"/>
          <w:color w:val="auto"/>
        </w:rPr>
      </w:pPr>
      <w:r>
        <w:rPr>
          <w:rFonts w:ascii="Times New Roman" w:cs="Times New Roman" w:eastAsia="Times New Roman" w:hAnsi="Times New Roman"/>
          <w:sz w:val="18"/>
          <w:szCs w:val="18"/>
          <w:color w:val="auto"/>
        </w:rPr>
        <w:t>On December 2, 2024, we completed the sale of our manufacturing facility located in Huntsville, Alabama (the Facility) and certain other manufacturing assets related thereto, including the assignment of our existing manufacturing and supply obligations, to Gannet BioChem, an affiliate of Ampersand Management LLC d/b/a Ampersand Capital Partners (Ampersand), via an Asset Purchase Agreement (the APA), for consideration of $64.7 million in cash, net of transaction costs, and an approximate 20% equity ownership at the time of close in Gannet BioChem. See Note 11 for additional information. As a result of the sale of the Facility, we no longer recognize product sales or cost of goods sold.</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We have prepared our Consolidated Financial Statements pursuant to U.S. generally accepted accounting principles (U.S. GAAP) and the rules and regulations of the Securities and Exchange Commissions.</w:t>
      </w:r>
    </w:p>
    <w:p>
      <w:pPr>
        <w:spacing w:after="0" w:line="121" w:lineRule="exact"/>
        <w:rPr>
          <w:sz w:val="20"/>
          <w:szCs w:val="20"/>
          <w:color w:val="auto"/>
        </w:rPr>
      </w:pPr>
    </w:p>
    <w:p>
      <w:pPr>
        <w:ind w:right="240" w:firstLine="644"/>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include the financial position, results of operations and cash flows of our wholly-owned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interests in any variable interest entities of which we are the primary beneficiary. We have eliminated all intercompany accounts and transactions in consolidation.</w:t>
      </w:r>
    </w:p>
    <w:p>
      <w:pPr>
        <w:spacing w:after="0" w:line="156" w:lineRule="exact"/>
        <w:rPr>
          <w:sz w:val="20"/>
          <w:szCs w:val="20"/>
          <w:color w:val="auto"/>
        </w:rPr>
      </w:pPr>
    </w:p>
    <w:p>
      <w:pPr>
        <w:ind w:right="220" w:firstLine="644"/>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denominated in U.S. dollars. Accordingly, changes in exchange rates between the applicable foreign currency and the U.S. dollar will affect the translation of each foreign subsidiary’s financial results into U.S. dollars for purposes of reporting our consolidated financial results.</w:t>
      </w:r>
    </w:p>
    <w:p>
      <w:pPr>
        <w:spacing w:after="0" w:line="135" w:lineRule="exact"/>
        <w:rPr>
          <w:sz w:val="20"/>
          <w:szCs w:val="20"/>
          <w:color w:val="auto"/>
        </w:rPr>
      </w:pPr>
    </w:p>
    <w:p>
      <w:pPr>
        <w:ind w:right="240" w:firstLine="644"/>
        <w:spacing w:after="0" w:line="256" w:lineRule="auto"/>
        <w:rPr>
          <w:sz w:val="20"/>
          <w:szCs w:val="20"/>
          <w:color w:val="auto"/>
        </w:rPr>
      </w:pPr>
      <w:r>
        <w:rPr>
          <w:rFonts w:ascii="Times New Roman" w:cs="Times New Roman" w:eastAsia="Times New Roman" w:hAnsi="Times New Roman"/>
          <w:sz w:val="18"/>
          <w:szCs w:val="18"/>
          <w:color w:val="auto"/>
        </w:rPr>
        <w:t>Our comprehensive loss consists of our net loss plus our foreign currency translation gains and losses (to the extent recognized in other comprehensive income (loss)) and unrealized holding gains and losses on available-for-sale securities. There were no significant reclassifications out of accumulated other comprehensive income (loss) to the statements of operations during the periods presented. We include translation gains and losses in accumulated other comprehensive income (loss) in the stockholders’ equity section of our Consolidated Balance Sheets. However, if we have concluded that we have substantially liquidated the entity, such as for our subsidiary in India, we recognize subsequent translation gains and losses in other income (expense) in our Consolidated Statements of Operations.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jc w:val="both"/>
        <w:ind w:right="20" w:firstLine="644"/>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Accounting estimates and assumptions are inherently uncertain.</w:t>
      </w:r>
    </w:p>
    <w:p>
      <w:pPr>
        <w:sectPr>
          <w:pgSz w:w="11900" w:h="16838" w:orient="portrait"/>
          <w:cols w:equalWidth="0" w:num="1">
            <w:col w:w="11220"/>
          </w:cols>
          <w:pgMar w:left="320" w:top="117" w:right="35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Actual results could differ materially from those estimates and assumptions. Our estimates include those related to the selling prices of performance obligations and amounts of variable consideration in collaboration agreements, royalty revenue, and other assumptions required for revenue recognition as described further below; the determination of our ability to exercise control or significant influence over our equity method investee; the fair value and impairment of investments in marketable securities, equity method investment, and long-lived assets; contingencies, accrued clinical trial, contract manufacturing and other expenses; income taxes; non-cash royalty revenue and non-cash interest expense from our liabilities related to our sales of future royalties; our assumptions used in stock-based compensation; and ongoing litigation, among other estimates. We base our estimates on historical experience and on other assumptions, including assumptions as to future events, that management believes are reasonable under the circumstances. These estimates form the basis for making judgments about the carrying values of assets and liabilities when these values are not readily apparent from other sources. As appropriate, we assess estimates each period, update them to reflect current information, and generally reflect any changes in estimates in the period first identified.</w:t>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ind w:right="100" w:firstLine="644"/>
        <w:spacing w:after="0" w:line="261" w:lineRule="auto"/>
        <w:rPr>
          <w:sz w:val="20"/>
          <w:szCs w:val="20"/>
          <w:color w:val="auto"/>
        </w:rPr>
      </w:pPr>
      <w:r>
        <w:rPr>
          <w:rFonts w:ascii="Times New Roman" w:cs="Times New Roman" w:eastAsia="Times New Roman" w:hAnsi="Times New Roman"/>
          <w:sz w:val="18"/>
          <w:szCs w:val="18"/>
          <w:color w:val="auto"/>
        </w:rPr>
        <w:t>The recorded amounts of certain financial instruments, including cash and cash equivalents, accounts receivable, accounts payable and accrued liabilities approximate their fair values due to their relatively short maturities. We record available-for-sale investments and cash equivalents at their estimated fair values, which are based on market prices from a variety of industry standard data providers and generally represent quoted prices for similar assets in active markets or have been derived from observable market data.</w:t>
      </w:r>
    </w:p>
    <w:p>
      <w:pPr>
        <w:spacing w:after="0" w:line="13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 xml:space="preserve">Certain assets and liabilities are reported on a recurring basis at fair value, and certain assets and liabilities are subsequently adjusted to their fair values, in accordance with the fair value hierarchy established in ASC 820-10,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58" w:lineRule="exact"/>
        <w:rPr>
          <w:sz w:val="20"/>
          <w:szCs w:val="20"/>
          <w:color w:val="auto"/>
        </w:rPr>
      </w:pPr>
    </w:p>
    <w:p>
      <w:pPr>
        <w:ind w:left="660"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for identical or similar assets or liabilities in markets that are not active; or other inputs that are observable or can be corroborated by observable market data for substantially the full term of the assets or liabilities. For the years ended December 31, 2025 and 2024, there were no transfers between Level 1 and Level 2 of the fair value hierarchy.</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Parties</w:t>
      </w:r>
    </w:p>
    <w:p>
      <w:pPr>
        <w:spacing w:after="0" w:line="189" w:lineRule="exact"/>
        <w:rPr>
          <w:sz w:val="20"/>
          <w:szCs w:val="20"/>
          <w:color w:val="auto"/>
        </w:rPr>
      </w:pPr>
    </w:p>
    <w:p>
      <w:pPr>
        <w:jc w:val="both"/>
        <w:ind w:right="300" w:firstLine="644"/>
        <w:spacing w:after="0" w:line="261" w:lineRule="auto"/>
        <w:rPr>
          <w:sz w:val="20"/>
          <w:szCs w:val="20"/>
          <w:color w:val="auto"/>
        </w:rPr>
      </w:pPr>
      <w:r>
        <w:rPr>
          <w:rFonts w:ascii="Times New Roman" w:cs="Times New Roman" w:eastAsia="Times New Roman" w:hAnsi="Times New Roman"/>
          <w:sz w:val="18"/>
          <w:szCs w:val="18"/>
          <w:color w:val="auto"/>
        </w:rPr>
        <w:t xml:space="preserve">Transactions between related parties are considered to be related party transactions even though they may not be given accounting recognition.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xml:space="preserve"> (ASC 850) requires that transactions with related parties that would make a difference in decision making shall be disclosed so that users of the financial statements can evaluate their significance. Please see Note 4 regarding our related party transactions with Gannet BioChem.</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 in Marketable Securities</w:t>
      </w:r>
    </w:p>
    <w:p>
      <w:pPr>
        <w:spacing w:after="0" w:line="202"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We consider all investments in marketable securities with an original maturity of 90 days or less when purchased to be cash equivalents. We classify investments in securities with remaining maturities of less than one year, or where our intent is to use the investments to fund current operations or to make them available for current operations, as short-term investments. We classify investments in securities with remaining maturities of over one year as long-term investments.</w:t>
      </w:r>
    </w:p>
    <w:p>
      <w:pPr>
        <w:spacing w:after="0" w:line="139"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Our cash and investments are held or issued by financial institutions that management believes are of high credit quality. However, we are exposed to credit risk in the event of default by the third parties that hold or issue such assets. Our investment policy limits investments to fixed income securities denominated and payable in U.S. dollars such as corporate bonds, corporate commercial paper, U.S. government obligations, and money market funds and places restrictions on maturities and concentrations by type and issuer.</w:t>
      </w:r>
    </w:p>
    <w:p>
      <w:pPr>
        <w:spacing w:after="0" w:line="139" w:lineRule="exact"/>
        <w:rPr>
          <w:sz w:val="20"/>
          <w:szCs w:val="20"/>
          <w:color w:val="auto"/>
        </w:rPr>
      </w:pPr>
    </w:p>
    <w:p>
      <w:pPr>
        <w:ind w:right="580" w:firstLine="644"/>
        <w:spacing w:after="0" w:line="282" w:lineRule="auto"/>
        <w:rPr>
          <w:sz w:val="20"/>
          <w:szCs w:val="20"/>
          <w:color w:val="auto"/>
        </w:rPr>
      </w:pPr>
      <w:r>
        <w:rPr>
          <w:rFonts w:ascii="Times New Roman" w:cs="Times New Roman" w:eastAsia="Times New Roman" w:hAnsi="Times New Roman"/>
          <w:sz w:val="18"/>
          <w:szCs w:val="18"/>
          <w:color w:val="auto"/>
        </w:rPr>
        <w:t>For our available-for-sale securities, we have significant concentrations of issuers in the banking and financial services industry. While our investment policy requires that we only invest in highly-rated securities and limit our exposure</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to any single issuer, a variety of factors may materially affect the financial condition of issuers. Additionally, pursuant to our investment policy, we may sell securities before maturity if the issuer’s credit rating has been downgraded below our minimum credit rating requirements, which may result in a loss on the sale. Accordingly, if factors result in downgrades below our minimum credit rating requirements and if we decide to sell these securities, we may experience losses on such sales.</w:t>
      </w:r>
    </w:p>
    <w:p>
      <w:pPr>
        <w:spacing w:after="0" w:line="153"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Investments are designated as available-for-sale and are carried at fair value with unrealized gains and losses reported in stockholders’ equity as accumulated other comprehensive income (loss). We review our portfolio of available-for-sale debt securities, using both quantitative and qualitative factors, to determine if declines in fair value below amortized cost have resulted from a credit-related loss or other factors. If the decline in fair value is due to credit-related factors, we recognize a loss in our Consolidated Statements of Operations, whereas if the decline in fair value is not due to credit-related factors, we recognize the loss in other comprehensive income (loss).</w:t>
      </w:r>
    </w:p>
    <w:p>
      <w:pPr>
        <w:spacing w:after="0" w:line="143" w:lineRule="exact"/>
        <w:rPr>
          <w:sz w:val="20"/>
          <w:szCs w:val="20"/>
          <w:color w:val="auto"/>
        </w:rPr>
      </w:pPr>
    </w:p>
    <w:p>
      <w:pPr>
        <w:ind w:right="600" w:firstLine="644"/>
        <w:spacing w:after="0" w:line="282" w:lineRule="auto"/>
        <w:rPr>
          <w:sz w:val="20"/>
          <w:szCs w:val="20"/>
          <w:color w:val="auto"/>
        </w:rPr>
      </w:pPr>
      <w:r>
        <w:rPr>
          <w:rFonts w:ascii="Times New Roman" w:cs="Times New Roman" w:eastAsia="Times New Roman" w:hAnsi="Times New Roman"/>
          <w:sz w:val="18"/>
          <w:szCs w:val="18"/>
          <w:color w:val="auto"/>
        </w:rPr>
        <w:t>We include coupon interest on securities classified as available-for-sale, as well as amortization of premiums and accretion of discounts to maturity, in interest income. The cost of securities sold is based on the specific identification method.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Significant Customer Concentrations</w:t>
      </w:r>
    </w:p>
    <w:p>
      <w:pPr>
        <w:spacing w:after="0" w:line="202" w:lineRule="exact"/>
        <w:rPr>
          <w:sz w:val="20"/>
          <w:szCs w:val="20"/>
          <w:color w:val="auto"/>
        </w:rPr>
      </w:pPr>
    </w:p>
    <w:p>
      <w:pPr>
        <w:jc w:val="both"/>
        <w:ind w:right="260" w:firstLine="644"/>
        <w:spacing w:after="0" w:line="266" w:lineRule="auto"/>
        <w:rPr>
          <w:sz w:val="20"/>
          <w:szCs w:val="20"/>
          <w:color w:val="auto"/>
        </w:rPr>
      </w:pPr>
      <w:r>
        <w:rPr>
          <w:rFonts w:ascii="Times New Roman" w:cs="Times New Roman" w:eastAsia="Times New Roman" w:hAnsi="Times New Roman"/>
          <w:sz w:val="18"/>
          <w:szCs w:val="18"/>
          <w:color w:val="auto"/>
        </w:rPr>
        <w:t>Our customers are primarily pharmaceutical and biotechnology companies with whom we have multi-year arrangements. Before the sale of the Facility, our accounts receivable balance primarily contained trade receivables from product sales. We have not recorded provisions for credit losses for any of the periods presented. Accounts receivable at December 31, 2025 and December 31, 2024 are immaterial due to the sale of the Facility.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Inventory and Significant Supplier Concentrations</w:t>
      </w:r>
    </w:p>
    <w:p>
      <w:pPr>
        <w:spacing w:after="0" w:line="189" w:lineRule="exact"/>
        <w:rPr>
          <w:sz w:val="20"/>
          <w:szCs w:val="20"/>
          <w:color w:val="auto"/>
        </w:rPr>
      </w:pPr>
    </w:p>
    <w:p>
      <w:pPr>
        <w:ind w:right="140" w:firstLine="644"/>
        <w:spacing w:after="0" w:line="256" w:lineRule="auto"/>
        <w:rPr>
          <w:sz w:val="20"/>
          <w:szCs w:val="20"/>
          <w:color w:val="auto"/>
        </w:rPr>
      </w:pPr>
      <w:r>
        <w:rPr>
          <w:rFonts w:ascii="Times New Roman" w:cs="Times New Roman" w:eastAsia="Times New Roman" w:hAnsi="Times New Roman"/>
          <w:sz w:val="18"/>
          <w:szCs w:val="18"/>
          <w:color w:val="auto"/>
        </w:rPr>
        <w:t>Before the sale of Facility, we manufactured inventory upon receipt of firm purchase orders from our partners, and we manufactured certain intermediate work-in-process materials and purchased raw materials based on purchase forecasts from our partners. Inventory included direct materials, direct labor, and manufacturing overhead, and we determined cost on a first-in, first-out basis for raw materials and on a specific identification basis for work-in-process and finished goods. We valued inventory at the lower of cost or net realizable value, and we wrote down defective or excess inventory to net realizable value based on historical experience or projected usage. We expensed inventory related to our research and development activities when we purchased or manufactured it. We have no inventory balance at December 31, 2025 and December 31, 2024 due to the sale of the Facility.</w:t>
      </w:r>
    </w:p>
    <w:p>
      <w:pPr>
        <w:spacing w:after="0" w:line="160"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are dependent on our suppliers and contract manufacturers to provide raw materials and drugs of appropriate quality and reliability and to meet applicable contract and regulatory requirements. In certain cases, we rely on single sources of supply of one or more critical materials. As a result of the sale of the Facility, we are dependent on Gannet BioChem for the supply of the polyethylene glycol reagents (PEG reagents) used in the manufacture of rezpegaldesleukin and NKTR-255. Consequently, in the event that supplies are delayed or interrupted for any reason, our ability to develop and produce our drug candidates could be significantly impaired, which could have a material adverse effect on our business, financial condition and results of operations.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89" w:lineRule="exact"/>
        <w:rPr>
          <w:sz w:val="20"/>
          <w:szCs w:val="20"/>
          <w:color w:val="auto"/>
        </w:rPr>
      </w:pPr>
    </w:p>
    <w:p>
      <w:pPr>
        <w:ind w:right="180" w:firstLine="644"/>
        <w:spacing w:after="0" w:line="261" w:lineRule="auto"/>
        <w:rPr>
          <w:sz w:val="20"/>
          <w:szCs w:val="20"/>
          <w:color w:val="auto"/>
        </w:rPr>
      </w:pPr>
      <w:r>
        <w:rPr>
          <w:rFonts w:ascii="Times New Roman" w:cs="Times New Roman" w:eastAsia="Times New Roman" w:hAnsi="Times New Roman"/>
          <w:sz w:val="18"/>
          <w:szCs w:val="18"/>
          <w:color w:val="auto"/>
        </w:rPr>
        <w:t>We report property and equipment at cost, net of accumulated depreciation. We capitalize major improvements and expense maintenance and repairs as incurred. We generally recognize depreciation on a straight-line basis. We depreciate manufacturing, laboratory and other equipment over their estimated useful lives of generally three to ten years, depreciate buildings over the estimated useful life of generally twenty years and amortize leasehold improvements over the shorter of the estimated useful lives or the remaining term of the related lease.</w:t>
      </w:r>
    </w:p>
    <w:p>
      <w:pPr>
        <w:spacing w:after="0" w:line="153"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assess the impairment of long-lived assets whenever events or changes in business circumstances indicate that the carrying amounts of the assets may not be fully recoverable. In the case of property and equipment and right-of-use assets for our leases, we determine whether there has been an impairment by comparing the carrying value of the asset to the anticipated undiscounted net cash flows associated with the asset. If such cash flows are less than the carrying value, we write down the asset to its fair value, which may be measured as anticipated net cash flows associated with the asset, discounted at a rate that we believe a market participant would utilize to reflect the risks associated with the cash flows, such as credit risk.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10 for additional information regarding the impairment charges we recorded for our leased facilities and certain property and equipment.</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ind w:right="100" w:firstLine="644"/>
        <w:spacing w:after="0" w:line="254" w:lineRule="auto"/>
        <w:rPr>
          <w:sz w:val="20"/>
          <w:szCs w:val="20"/>
          <w:color w:val="auto"/>
        </w:rPr>
      </w:pPr>
      <w:r>
        <w:rPr>
          <w:rFonts w:ascii="Times New Roman" w:cs="Times New Roman" w:eastAsia="Times New Roman" w:hAnsi="Times New Roman"/>
          <w:sz w:val="18"/>
          <w:szCs w:val="18"/>
          <w:color w:val="auto"/>
        </w:rPr>
        <w:t>We determine if an arrangement contains a lease at the inception of the arrangement. Right-of-use assets represent our right to use an underlying asset for the lease term, and lease liabilities represent our obligation to make lease payments arising from the lease. We recognize operating lease right-of-use assets and liabilities at the lease commencement date based on the present value of lease payments over the expected lease term. In determining the present value of lease payments, we use our incremental borrowing rate based on the information available at the lease commencement date. Our expected lease terms may include options to extend or terminate the lease when it is reasonably certain that we will exercise any such options. We have elected to recognize lease incentives, such as tenant improvement allowances, at the lease commencement date as a reduction of the right-of-use asset and lease liability until paid to us by the lessor to the extent that the lease provides a specified fixed or maximum level of reimbursement and we are reasonably certain to incur reimbursable costs at least equaling such amounts.</w:t>
      </w:r>
    </w:p>
    <w:p>
      <w:pPr>
        <w:spacing w:after="0" w:line="151"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We have elected the practical expedient to account for the lease and non-lease components, such as common area maintenance charges, as a single lease component for our facilities leases, and elected the short-term lease recognition exemption for our short-term leases, under which we do not recognize lease liabilities and right-of-use assets for leases with an original term of twelve months or less.</w:t>
      </w:r>
    </w:p>
    <w:p>
      <w:pPr>
        <w:spacing w:after="0" w:line="149"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We recognize lease expense for our operating leases on a straight-line basis over the expected lease term. However, if we recognize an impairment of our right-of-use assets, the subsequent lease expense of such lease is recognized on an accelerated basis as lease expense includes the recognition of accretion expense on our lease liability, which is higher in earlier periods due to the higher lease liability, and straight-line amortization of the remaining post-impairment right-of-use asset.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see Note 5 for additional information regarding our leases.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02" w:lineRule="exact"/>
        <w:rPr>
          <w:sz w:val="20"/>
          <w:szCs w:val="20"/>
          <w:color w:val="auto"/>
        </w:rPr>
      </w:pPr>
    </w:p>
    <w:p>
      <w:pPr>
        <w:ind w:right="200" w:firstLine="644"/>
        <w:spacing w:after="0" w:line="261" w:lineRule="auto"/>
        <w:rPr>
          <w:sz w:val="20"/>
          <w:szCs w:val="20"/>
          <w:color w:val="auto"/>
        </w:rPr>
      </w:pPr>
      <w:r>
        <w:rPr>
          <w:rFonts w:ascii="Times New Roman" w:cs="Times New Roman" w:eastAsia="Times New Roman" w:hAnsi="Times New Roman"/>
          <w:sz w:val="18"/>
          <w:szCs w:val="18"/>
          <w:color w:val="auto"/>
        </w:rPr>
        <w:t>In April 2022 and April 2023, we announced certain restructuring plans (the 2022 Restructuring Plan and the 2023 Restructuring Plan, respectively), pursuant to which we terminated significant portions of our workforce and decided to sublease all of our leased premises in San Francisco, California, including our office space on Third St. (Third St. Facility) and our office and laboratory space on Mission Bay Blvd. South (Mission Bay Facility).</w:t>
      </w:r>
    </w:p>
    <w:p>
      <w:pPr>
        <w:spacing w:after="0" w:line="139"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We recognize restructuring charges related to reorganization plans that have been committed to by management when liabilities have been incurred. In connection with these activities, we record restructuring charges at fair value for contract termination costs incurred when we cancel the contract in accordance with its terms, or for costs to be incurred over the remaining contract term without economic benefit to us at the cease-use date. See Note 10 for additional information.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02"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On June 6, 2025, we filed a Certificate of Amendment to the Certificate of Incorporation, or the Reverse Stock Split Amendment, to effect a reverse stock split of Nektar’s Common Stock at a ratio of one-for-fifteen, effective June 8, 2025. No fractional shares of common stock were issued as a result of the Reverse Stock Split. All share and per share figures in these financial statements have been adjusted to give retrospective effect to the Reverse Stock Split. See Note 8 for additional information.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89"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We record treasury stock activities under the cost method. Treasury stock is included in authorized and issued shares but excluded from outstanding shares. The re-issuance of treasury stock is accounted for on a first-in, first-out basis and any differences between the cost of treasury stock and the re-issuance proceeds are charged or credited to additional paid-in capital. In connection with the 2025 Offering, we re-issued all shares held in treasury stock. See Note 8 for additional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02" w:lineRule="exact"/>
        <w:rPr>
          <w:sz w:val="20"/>
          <w:szCs w:val="20"/>
          <w:color w:val="auto"/>
        </w:rPr>
      </w:pPr>
    </w:p>
    <w:p>
      <w:pPr>
        <w:ind w:firstLine="644"/>
        <w:spacing w:after="0" w:line="256" w:lineRule="auto"/>
        <w:rPr>
          <w:sz w:val="20"/>
          <w:szCs w:val="20"/>
          <w:color w:val="auto"/>
        </w:rPr>
      </w:pPr>
      <w:r>
        <w:rPr>
          <w:rFonts w:ascii="Times New Roman" w:cs="Times New Roman" w:eastAsia="Times New Roman" w:hAnsi="Times New Roman"/>
          <w:sz w:val="18"/>
          <w:szCs w:val="18"/>
          <w:color w:val="auto"/>
        </w:rPr>
        <w:t>We enter into collaboration arrangements with pharmaceutical and biotechnology collaboration partners, under which we may grant licenses to our collaboration partners to further develop and commercialize one of our drug candidates, either alone or in combination with the collaboration partners’ compounds. We may also perform research, development, manufacturing and supply activities under our collaboration agreements. Consideration under these contracts may include an upfront payment, development and regulatory milestones and other contingent payments, expense reimbursements, royalties based on net sales of approved drugs, and commercial sales milestone payments. Additionally, these contracts may provide options for the customer to purchase additional contract research and development services under separate contracts.</w:t>
      </w:r>
    </w:p>
    <w:p>
      <w:pPr>
        <w:spacing w:after="0" w:line="145"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 xml:space="preserve">When we enter into collaboration agreements, we assess whether the arrangements fall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based on whether the arrangements involve joint operating activities and whether both parties have active participation in the arrangement and are exposed to significant risks and rewards of the arrangement. To the extent that the arrangement falls within the scope of ASC 808, we assess whether the payments between us and our collaboration partner fall within the scope of other accounting literature. If we conclude that payments from the collaboration partner to us represent consideration from a customer, such as license fees and contract research and development activities, we account for those payments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However, if we conclude that our collaboration partner is not a customer for certain activities and associated payments, such as for certain collaborative research, development, manufacturing and commercial activities, we present such payments as a reduction of research and development expense or general and administrative expense, based on where we present the underlying expense.</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For elements of those arrangements that we determine should be accounted for under ASC 606, we assess which activities in our collaboration agreements are performance obligations that should be accounted for separately and determine the transaction price of the arrangement, which includes the assessment of the probability of achievement of future milestones and other potential consideration. For arrangements that include multiple performance obligations, such as granting a license or performing contract research and development activities or participation on joint steering or other committees, we allocate upfront and milestone payments under a relative standalone selling price method. Accordingly, we develop assumptions that require judgment to determine the standalone selling price for each performance obligation identified in the contract. These key assumptions may include revenue forecasts, clinical development timelines and costs, discount rates and probabilities of clinical and regulatory success.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sale of the Facility, we no longer recognize product sales of PEG reagents.</w:t>
      </w:r>
    </w:p>
    <w:p>
      <w:pPr>
        <w:spacing w:after="0" w:line="198"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Before the sale of the Facility, product sales were primarily derived from manufacturing and supply agreements we entered into with our customers. We have assessed our manufacturing and supply arrangements and have generally determined that they provided the customer an option to purchase our proprietary PEG reagents. Accordingly, we treated each purchase order as a discrete exercise of the customer’s option (i.e. a separate contract) rather than as a component of the overall arrangement. The pricing for the manufacturing and supply was generally at a fixed price. The “take or pay” arrangement signed with UCB during 2024 resulted in recognition based on a single sales price over multiple years. See Note 9 for additional details.</w:t>
      </w:r>
    </w:p>
    <w:p>
      <w:pPr>
        <w:spacing w:after="0" w:line="143"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We invoiced and recognized product sales when title and risk of loss passed to the customer, which generally occurred upon shipment. Customer payments were generally due 30 days from receipt of an invoice. We tested our products for adherence to technical specifications before shipment; accordingly, we have not experienced any significant returns from our customers. We recognized costs related to shipping and handling of product to customers in cost of goods sold.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Non-cash royalty revenue</w:t>
      </w:r>
    </w:p>
    <w:p>
      <w:pPr>
        <w:spacing w:after="0" w:line="202" w:lineRule="exact"/>
        <w:rPr>
          <w:sz w:val="20"/>
          <w:szCs w:val="20"/>
          <w:color w:val="auto"/>
        </w:rPr>
      </w:pPr>
    </w:p>
    <w:p>
      <w:pPr>
        <w:ind w:right="20" w:firstLine="644"/>
        <w:spacing w:after="0" w:line="244" w:lineRule="auto"/>
        <w:rPr>
          <w:sz w:val="20"/>
          <w:szCs w:val="20"/>
          <w:color w:val="auto"/>
        </w:rPr>
      </w:pPr>
      <w:r>
        <w:rPr>
          <w:rFonts w:ascii="Times New Roman" w:cs="Times New Roman" w:eastAsia="Times New Roman" w:hAnsi="Times New Roman"/>
          <w:sz w:val="18"/>
          <w:szCs w:val="18"/>
          <w:color w:val="auto"/>
        </w:rPr>
        <w:t>Generally, for our collaboration arrangements that include sales-based royalties, we have granted our collaboration partner a license to our intellectual property. Pursuant to these arrangements, our collaboration partners are typically obligated to pay a royalty that is based on the net sales of their approved drugs that are sold in the countries where we have intellectual property rights covering their drugs. We have sold our rights to receive sales-based royalties for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MOVANTIK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ADYNOVATE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REBINYN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 further described in Note 6. For collaboration arrangements that include sales-based royalties, we have concluded that the license is the predominant item to which the royalties relate, which include commercial milestone payments based on the level of sales. Accordingly, we recognize royalty revenue when the underlying sales occur based on our best estimates of sales of the drugs. Our aggregate non-cash</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royalty revenue of $54.9 million and $64.3 million for the years ended December 31, 2025 and 2024, respectively, represents revenue for granting licenses for which we had satisfied in prior periods.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 collaboration and other revenue</w:t>
      </w:r>
    </w:p>
    <w:p>
      <w:pPr>
        <w:spacing w:after="0" w:line="187" w:lineRule="exact"/>
        <w:rPr>
          <w:sz w:val="20"/>
          <w:szCs w:val="20"/>
          <w:color w:val="auto"/>
        </w:rPr>
      </w:pPr>
    </w:p>
    <w:p>
      <w:pPr>
        <w:ind w:right="80" w:firstLine="644"/>
        <w:spacing w:after="0" w:line="258" w:lineRule="auto"/>
        <w:rPr>
          <w:sz w:val="20"/>
          <w:szCs w:val="20"/>
          <w:color w:val="auto"/>
        </w:rPr>
      </w:pPr>
      <w:r>
        <w:rPr>
          <w:rFonts w:ascii="Times New Roman" w:cs="Times New Roman" w:eastAsia="Times New Roman" w:hAnsi="Times New Roman"/>
          <w:sz w:val="18"/>
          <w:szCs w:val="18"/>
          <w:i w:val="1"/>
          <w:iCs w:val="1"/>
          <w:color w:val="auto"/>
        </w:rPr>
        <w:t>License Grants</w:t>
      </w:r>
      <w:r>
        <w:rPr>
          <w:rFonts w:ascii="Times New Roman" w:cs="Times New Roman" w:eastAsia="Times New Roman" w:hAnsi="Times New Roman"/>
          <w:sz w:val="18"/>
          <w:szCs w:val="18"/>
          <w:color w:val="auto"/>
        </w:rPr>
        <w:t>: For collaboration arrangements that include a grant of a license to our intellectual property, we consider whether the license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distinct from the other performance obligations included in the arrangement. Generally, we would conclude that the license is distinct if the customer is able to benefit from the license with the resources available to it. For licenses that are distinct, we recognize revenues from non-refundable, upfront payments and other consideration allocated to the license when the license term has begun and we have provided all necessary information regarding the underlying intellectual property to the customer, which generally occurs at or near the inception of the arrangement.</w:t>
      </w:r>
    </w:p>
    <w:p>
      <w:pPr>
        <w:spacing w:after="0" w:line="143"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At the inception of the arrangement and at each reporting date thereafter, we assess whether we should include any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or other forms of variable consideration in the transaction price, based on whether a significant reversal of revenue previously recognized is not probable upon resolution of the uncertainty. Since milestone payments may become payable to us upon the initiation of a clinical study, filing for or receipt of regulatory approval or the first commercial sale of a product, we review the relevant facts and circumstances to determine when we should update the transaction price, which may occur before the triggering event. When we do update the transaction price for milestone payments, we allocate it on a relative standalone selling price basis and record revenue on a cumulative catch-up basis, which results in recognizing revenue for previously satisfied performance obligations in such period. If we update the transaction price before the triggering event, we recognize the increase in the transaction price as a contract asset. Our partners generally pay development milestones after achievement of the triggering event.</w:t>
      </w:r>
    </w:p>
    <w:p>
      <w:pPr>
        <w:spacing w:after="0" w:line="158" w:lineRule="exact"/>
        <w:rPr>
          <w:sz w:val="20"/>
          <w:szCs w:val="20"/>
          <w:color w:val="auto"/>
        </w:rPr>
      </w:pPr>
    </w:p>
    <w:p>
      <w:pPr>
        <w:ind w:right="140" w:firstLine="644"/>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Services</w:t>
      </w:r>
      <w:r>
        <w:rPr>
          <w:rFonts w:ascii="Times New Roman" w:cs="Times New Roman" w:eastAsia="Times New Roman" w:hAnsi="Times New Roman"/>
          <w:sz w:val="18"/>
          <w:szCs w:val="18"/>
          <w:color w:val="auto"/>
        </w:rPr>
        <w:t>: For amounts allocated to our research and development obligations in a collaboration arrangement,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revenue over time using a proportional performance model, representing the transfer of goods or services as we perform activities over the term of the agreement.</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89" w:lineRule="exact"/>
        <w:rPr>
          <w:sz w:val="20"/>
          <w:szCs w:val="20"/>
          <w:color w:val="auto"/>
        </w:rPr>
      </w:pPr>
    </w:p>
    <w:p>
      <w:pPr>
        <w:ind w:right="20" w:firstLine="644"/>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include salaries, benefits and other operating costs such as outside services, supplies and allocated overhead costs.</w:t>
      </w:r>
    </w:p>
    <w:p>
      <w:pPr>
        <w:spacing w:after="0" w:line="135" w:lineRule="exact"/>
        <w:rPr>
          <w:sz w:val="20"/>
          <w:szCs w:val="20"/>
          <w:color w:val="auto"/>
        </w:rPr>
      </w:pPr>
    </w:p>
    <w:p>
      <w:pPr>
        <w:ind w:right="180" w:firstLine="644"/>
        <w:spacing w:after="0" w:line="255" w:lineRule="auto"/>
        <w:rPr>
          <w:sz w:val="20"/>
          <w:szCs w:val="20"/>
          <w:color w:val="auto"/>
        </w:rPr>
      </w:pPr>
      <w:r>
        <w:rPr>
          <w:rFonts w:ascii="Times New Roman" w:cs="Times New Roman" w:eastAsia="Times New Roman" w:hAnsi="Times New Roman"/>
          <w:sz w:val="18"/>
          <w:szCs w:val="18"/>
          <w:color w:val="auto"/>
        </w:rPr>
        <w:t>We record an accrued expense for the estimated unbilled costs of our clinical study activities performed by third parties. The financial terms of these agreements are subject to negotiation, vary from contract to contract and may result in uneven payment flows to our vendors. Payments under the contracts depend on factors such as the achievement of certain events, successful enrollment of patients and completion of certain clinical trial activities. We generally recognize costs associated with the start-up and reporting phases of the clinical trials as incurred. We generally accrue costs associated with the treatment phase of clinical trials based on the estimated activities performed by our third-party vendors, including our contract research organizations. In specific circumstances, such as for certain time-based costs, we recognize clinical trial expenses ratably over the service period, as we believe that this methodology may be more reflective of the timing of costs incurred.</w:t>
      </w:r>
    </w:p>
    <w:p>
      <w:pPr>
        <w:spacing w:after="0" w:line="148" w:lineRule="exact"/>
        <w:rPr>
          <w:sz w:val="20"/>
          <w:szCs w:val="20"/>
          <w:color w:val="auto"/>
        </w:rPr>
      </w:pPr>
    </w:p>
    <w:p>
      <w:pPr>
        <w:ind w:right="200" w:firstLine="644"/>
        <w:spacing w:after="0" w:line="282" w:lineRule="auto"/>
        <w:rPr>
          <w:sz w:val="20"/>
          <w:szCs w:val="20"/>
          <w:color w:val="auto"/>
        </w:rPr>
      </w:pPr>
      <w:r>
        <w:rPr>
          <w:rFonts w:ascii="Times New Roman" w:cs="Times New Roman" w:eastAsia="Times New Roman" w:hAnsi="Times New Roman"/>
          <w:sz w:val="18"/>
          <w:szCs w:val="18"/>
          <w:color w:val="auto"/>
        </w:rPr>
        <w:t>We capitalize advance payments for goods or services that will be used or rendered for future research and development activities and recognize expense as the related goods are delivered or services performed.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on Liabilities Related to the Sales of Future Royalties</w:t>
      </w:r>
    </w:p>
    <w:p>
      <w:pPr>
        <w:spacing w:after="0" w:line="202"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Interest expense on liabilities related to the sales of future royalties is imputed on the unamortized portion using the effective interest method. We periodically assess the estimated royalty payments under our licensees, and, as the amount or timing of such payments of these estimates change, we prospectively adjust the imputed interest rate and the related amortization of the respective liability. The actual interest rate will be affected by the timing of the royalty payments and changes in the forecasted revenue.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w:t>
      </w:r>
    </w:p>
    <w:p>
      <w:pPr>
        <w:spacing w:after="0" w:line="202"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Our investment in Gannet BioChem is considered a variable interest entity for which we are not the primary beneficiary. We use the equity method of accounting to account for our investment in Gannet BioChem, which is an entity that we do not control, but have the ability to exert significant influence. Judgments regarding the level of influence over the equity method investment include consideration of key factors such as our ownership interest, representation on the board of directors or participation in policy-making decisions.</w:t>
      </w:r>
    </w:p>
    <w:p>
      <w:pPr>
        <w:spacing w:after="0" w:line="139"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Under the equity method of accounting, our investment in Gannet BioChem was initially recorded at fair value on our Consolidated Balance Sheets. The carrying value of the investment is subsequently adjusted based on our share of the net income or loss of the entity which we present as gain or loss from equity method investment in our Consolidated Statements of Operations. We record our share of the equity method investment’s results of operations on a three-month lag basis, as further disclosed in Note 4.</w:t>
      </w:r>
    </w:p>
    <w:p>
      <w:pPr>
        <w:spacing w:after="0" w:line="139"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Due to Ampersand’s right to receive a cumulative preferred dividend at a certain annual rate of return and return of capital before any distributions are made to us as further disclosed in Note 4, we record our gain or loss on our investment in Gannet BioChem under the hypothetical liquidation at book value (HLBV) method.</w:t>
      </w:r>
    </w:p>
    <w:p>
      <w:pPr>
        <w:spacing w:after="0" w:line="149"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The HLBV method is a balance sheet approach that calculates the change in the hypothetical amount Ampersand and we would be entitled to receive if Gannet BioChem were liquidated at book value at the end of each period, adjusted for any contributions made and distributions received during the period, as well as basis differences between the initial fair value of our investment in Gannet BioChem and our claim on the net assets of Gannet BioChem. Our maximum exposure to loss in Gannet BioChem is limited to the carrying value of our investment. Loss from our investment in Gannet BioChem of $8.7 million has been recorded for the year ended December 31, 2025.</w:t>
      </w:r>
    </w:p>
    <w:p>
      <w:pPr>
        <w:spacing w:after="0" w:line="143" w:lineRule="exact"/>
        <w:rPr>
          <w:sz w:val="20"/>
          <w:szCs w:val="20"/>
          <w:color w:val="auto"/>
        </w:rPr>
      </w:pPr>
    </w:p>
    <w:p>
      <w:pPr>
        <w:ind w:right="60" w:firstLine="644"/>
        <w:spacing w:after="0" w:line="261" w:lineRule="auto"/>
        <w:rPr>
          <w:sz w:val="20"/>
          <w:szCs w:val="20"/>
          <w:color w:val="auto"/>
        </w:rPr>
      </w:pPr>
      <w:r>
        <w:rPr>
          <w:rFonts w:ascii="Times New Roman" w:cs="Times New Roman" w:eastAsia="Times New Roman" w:hAnsi="Times New Roman"/>
          <w:sz w:val="18"/>
          <w:szCs w:val="18"/>
          <w:color w:val="auto"/>
        </w:rPr>
        <w:t>We evaluate our equity method investment at the end of each reporting period to determine whether events or changes in business circumstances indicate that the carrying value of the investment may not be recoverable. This evaluation consists of several qualitative and quantitative factors that may include recent financial results, projected financial results and operating trends of the investees and other publicly available information that may affect the value of our investment.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Stock-based compensation arrangements include grants of stock options and restricted stock units (RSUs) under our equity incentive plans, as well as shares issued under our Employee Stock Purchase Plan (ESPP), through which employees may purchase our common stock at a discount to the market price.</w:t>
      </w:r>
    </w:p>
    <w:p>
      <w:pPr>
        <w:spacing w:after="0" w:line="135"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We expense the grant date fair value of stock-based compensation on a straight-line basis over the requisite service periods in our Consolidated Statements of Operations and recognize forfeitures as they occur. For options and RSUs that vest upon the achievement of performance milestones, we recognize expense provided that we believe that the performance milestones are probable of achievement, and we estimate the vesting period based on our evaluation of the estimated date of achievement of these milestones. We report expense amounts in cost of goods sold, research and development expense, and general and administrative expense based on the function of the applicable employee. We estimate the grant date fair value of our stock-based compensation awards as follows:</w:t>
      </w:r>
    </w:p>
    <w:p>
      <w:pPr>
        <w:spacing w:after="0" w:line="147" w:lineRule="exact"/>
        <w:rPr>
          <w:sz w:val="20"/>
          <w:szCs w:val="20"/>
          <w:color w:val="auto"/>
        </w:rPr>
      </w:pPr>
    </w:p>
    <w:p>
      <w:pPr>
        <w:ind w:left="1300" w:right="180" w:hanging="648"/>
        <w:spacing w:after="0" w:line="281" w:lineRule="auto"/>
        <w:tabs>
          <w:tab w:leader="none" w:pos="13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options - We use the Black-Scholes option pricing model for the respective grant to determine the grant date fair value of stock options and common stock issued under the Company’s equity incentive plans or purchased under the ESPP. The Black-Scholes option pricing model requires the input of assumptions, including but not limited to, the expected term of the options, which we may estimate based on actual and projected employee stock option exercise behaviors, and our stock price volatility over the term of the awards.</w:t>
      </w:r>
    </w:p>
    <w:p>
      <w:pPr>
        <w:spacing w:after="0" w:line="137" w:lineRule="exact"/>
        <w:rPr>
          <w:rFonts w:ascii="Times New Roman" w:cs="Times New Roman" w:eastAsia="Times New Roman" w:hAnsi="Times New Roman"/>
          <w:sz w:val="17"/>
          <w:szCs w:val="17"/>
          <w:color w:val="auto"/>
        </w:rPr>
      </w:pPr>
    </w:p>
    <w:p>
      <w:pPr>
        <w:ind w:left="1300" w:hanging="648"/>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 The fair value of an RSU is equal to the closing price of our common stock on the grant date.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right="160" w:firstLine="644"/>
        <w:spacing w:after="0" w:line="256" w:lineRule="auto"/>
        <w:rPr>
          <w:sz w:val="20"/>
          <w:szCs w:val="20"/>
          <w:color w:val="auto"/>
        </w:rPr>
      </w:pPr>
      <w:r>
        <w:rPr>
          <w:rFonts w:ascii="Times New Roman" w:cs="Times New Roman" w:eastAsia="Times New Roman" w:hAnsi="Times New Roman"/>
          <w:sz w:val="18"/>
          <w:szCs w:val="18"/>
          <w:color w:val="auto"/>
        </w:rPr>
        <w:t>We account for income taxes under the liability method. Under this method, we determine deferred tax assets and liabilities based on differences between the financial reporting and tax reporting bases of assets and liabilities, measured using laws and enacted tax rates that we expect to be in effect when we expect the differences to reverse. Realization of deferred tax assets is dependent upon future earnings, the timing and amount of which are uncertain. We record a valuation allowance against deferred tax assets to reduce their carrying value to an amount that is more likely than not to be realized. When we establish or reduce the valuation allowance related to the deferred tax assets, our provision for income taxes will increase or decrease, respectively, in the period we make such determination.</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20" w:firstLine="644"/>
        <w:spacing w:after="0" w:line="261" w:lineRule="auto"/>
        <w:rPr>
          <w:sz w:val="20"/>
          <w:szCs w:val="20"/>
          <w:color w:val="auto"/>
        </w:rPr>
      </w:pPr>
      <w:r>
        <w:rPr>
          <w:rFonts w:ascii="Times New Roman" w:cs="Times New Roman" w:eastAsia="Times New Roman" w:hAnsi="Times New Roman"/>
          <w:sz w:val="18"/>
          <w:szCs w:val="18"/>
          <w:color w:val="auto"/>
        </w:rPr>
        <w:t>We utilize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of benefit, determined on a cumulative probability basis, that is more than 50% likely of being realized upon ultimate settlement.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2025 and 2024, our income tax benefit was immaterial.</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9"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For all periods presented in the Consolidated Statements of Operations, the net loss available to common stockholders is equal to the reported net loss. We calculate basic net loss per share based on the weighted-average number of common shares outstanding, including the TCG Pre-funded Warrant, during the periods presented. Before the exercise of the TCG Pre-funded Warrant, shares of common stock underlying the TCG Pre-funded Warrant were considered outstanding for the purposes of computing basic net loss per share because the shares were issuable for little consideration, were fully vested and were exercisable after the original issuance date. For the years ended December 31, 2025 and 2024, basic and diluted net loss per share are the same due to our net losses and the requirement to exclude potentially dilutive securities which would have an antidilutive effect on net loss per share. We excluded shares underlying the weighted average outstanding stock options and RSUs, as follows:</w:t>
      </w:r>
    </w:p>
    <w:p>
      <w:pPr>
        <w:spacing w:after="0" w:line="182"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7620</wp:posOffset>
            </wp:positionV>
            <wp:extent cx="21945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ind w:left="8340"/>
        <w:spacing w:after="0"/>
        <w:tabs>
          <w:tab w:leader="none" w:pos="101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tbl>
      <w:tblPr>
        <w:tblLayout w:type="fixed"/>
        <w:tblInd w:w="0" w:type="dxa"/>
        <w:tblCellMar>
          <w:top w:w="0" w:type="dxa"/>
          <w:left w:w="0" w:type="dxa"/>
          <w:bottom w:w="0" w:type="dxa"/>
          <w:right w:w="0" w:type="dxa"/>
        </w:tblCellMar>
      </w:tblPr>
      <w:tr>
        <w:trPr>
          <w:trHeight w:val="210"/>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2,260,593</w:t>
            </w:r>
          </w:p>
        </w:tc>
        <w:tc>
          <w:tcPr>
            <w:tcW w:w="22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1,788,719</w:t>
            </w:r>
          </w:p>
        </w:tc>
        <w:tc>
          <w:tcPr>
            <w:tcW w:w="1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02" w:lineRule="exact"/>
        <w:rPr>
          <w:sz w:val="20"/>
          <w:szCs w:val="20"/>
          <w:color w:val="auto"/>
        </w:rPr>
      </w:pPr>
    </w:p>
    <w:p>
      <w:pPr>
        <w:jc w:val="both"/>
        <w:ind w:right="300" w:firstLine="644"/>
        <w:spacing w:after="0" w:line="266" w:lineRule="auto"/>
        <w:rPr>
          <w:sz w:val="20"/>
          <w:szCs w:val="20"/>
          <w:color w:val="auto"/>
        </w:rPr>
      </w:pPr>
      <w:r>
        <w:rPr>
          <w:rFonts w:ascii="Times New Roman" w:cs="Times New Roman" w:eastAsia="Times New Roman" w:hAnsi="Times New Roman"/>
          <w:sz w:val="18"/>
          <w:szCs w:val="18"/>
          <w:color w:val="auto"/>
        </w:rPr>
        <w:t>Comprehensive loss is the change in stockholders’ equity from transactions and other events and circumstances other than those resulting from investments by stockholders and distributions to stockholders. Our comprehensive loss includes our net loss, gains and losses from the foreign currency translation of the assets and liabilities of our foreign subsidiaries, and unrealized gains and losses on investments in available-for-sale securities.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7" w:lineRule="exact"/>
        <w:rPr>
          <w:sz w:val="20"/>
          <w:szCs w:val="20"/>
          <w:color w:val="auto"/>
        </w:rPr>
      </w:pPr>
    </w:p>
    <w:p>
      <w:pPr>
        <w:ind w:right="40" w:firstLine="64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will require incremental income tax disclosures on an annual basis for all public entities. The amendments require that public business entities disclose specific categories in the rate reconciliation and provide additional information for reconciling items meeting a quantitative threshold. The amendments also require disclosure of income taxes paid to be disaggregated by jurisdiction, and disclosure of income tax expense disaggregated by federal, state, and foreign. ASU 2023-09 is effective for annual reporting beginning with the fiscal year ending December 31, 2025. We have adopted ASU-2023-09 on a prospective basis for the year ended December 31, 2025. Please refer to Note 13 for further details.</w:t>
      </w:r>
    </w:p>
    <w:p>
      <w:pPr>
        <w:spacing w:after="0" w:line="155" w:lineRule="exact"/>
        <w:rPr>
          <w:sz w:val="20"/>
          <w:szCs w:val="20"/>
          <w:color w:val="auto"/>
        </w:rPr>
      </w:pPr>
    </w:p>
    <w:p>
      <w:pPr>
        <w:ind w:right="100" w:firstLine="64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an accounting standard update that requires the Company to disclose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detailed information about the types of expenses (including employee compensation, depreciation, and amortization) included in each relevant income statement expense caption. In January 2025, the FASB issued ASU 2025-01, </w:t>
      </w:r>
      <w:r>
        <w:rPr>
          <w:rFonts w:ascii="Times New Roman" w:cs="Times New Roman" w:eastAsia="Times New Roman" w:hAnsi="Times New Roman"/>
          <w:sz w:val="18"/>
          <w:szCs w:val="18"/>
          <w:i w:val="1"/>
          <w:iCs w:val="1"/>
          <w:color w:val="auto"/>
        </w:rPr>
        <w:t>Income Statement—Reporting Comprehensive Income—Expense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Disaggregation Disclosures (Subtopic 220-40): Clarifying the Effective Date</w:t>
      </w:r>
      <w:r>
        <w:rPr>
          <w:rFonts w:ascii="Times New Roman" w:cs="Times New Roman" w:eastAsia="Times New Roman" w:hAnsi="Times New Roman"/>
          <w:sz w:val="18"/>
          <w:szCs w:val="18"/>
          <w:color w:val="auto"/>
        </w:rPr>
        <w:t>, to clarify the effective date of ASU 2024-03. The ASU is effective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beginning after December 15, 2026, and interim reporting periods beginning after December 15, 2027. Early adoption is permitted. We are currently evaluating the incremental disclosures that will be required in our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Cash and Investments in Marketable Securities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and investments in marketable securities, including cash equivalents,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5"/>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Estimated Fair Value at</w:t>
            </w:r>
          </w:p>
        </w:tc>
        <w:tc>
          <w:tcPr>
            <w:tcW w:w="100" w:type="dxa"/>
            <w:vAlign w:val="bottom"/>
          </w:tcPr>
          <w:p>
            <w:pPr>
              <w:spacing w:after="0"/>
              <w:rPr>
                <w:sz w:val="15"/>
                <w:szCs w:val="15"/>
                <w:color w:val="auto"/>
              </w:rPr>
            </w:pPr>
          </w:p>
        </w:tc>
      </w:tr>
      <w:tr>
        <w:trPr>
          <w:trHeight w:val="227"/>
        </w:trPr>
        <w:tc>
          <w:tcPr>
            <w:tcW w:w="7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15,116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44,252</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210,974</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investments in marketable securities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245,752</w:t>
            </w:r>
          </w:p>
        </w:tc>
        <w:tc>
          <w:tcPr>
            <w:tcW w:w="14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269,095</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We invest in liquid, high quality debt securities. Our investments in debt securities are subject to interest rate risk. To minimize the exposure due to an adverse shift in interest rates, we invest in securities with maturities of two years or less and maintain a weighted average maturity of one year or less. We currently do not intend to sell these securities prior to maturity and it is more likely than not that we will not be required to sell these securities before we recover the amortized cost basis.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years ended December 31, 2025 and 2024, we did not sell any available-for-sale securities.</w:t>
      </w:r>
    </w:p>
    <w:p>
      <w:pPr>
        <w:spacing w:after="0" w:line="185" w:lineRule="exact"/>
        <w:rPr>
          <w:sz w:val="20"/>
          <w:szCs w:val="20"/>
          <w:color w:val="auto"/>
        </w:rPr>
      </w:pPr>
    </w:p>
    <w:p>
      <w:pPr>
        <w:ind w:right="460" w:firstLine="644"/>
        <w:spacing w:after="0" w:line="282" w:lineRule="auto"/>
        <w:rPr>
          <w:sz w:val="20"/>
          <w:szCs w:val="20"/>
          <w:color w:val="auto"/>
        </w:rPr>
      </w:pPr>
      <w:r>
        <w:rPr>
          <w:rFonts w:ascii="Times New Roman" w:cs="Times New Roman" w:eastAsia="Times New Roman" w:hAnsi="Times New Roman"/>
          <w:sz w:val="18"/>
          <w:szCs w:val="18"/>
          <w:color w:val="auto"/>
        </w:rPr>
        <w:t>We report our accrued interest receivable, which totaled $0.6 million and $1.1 million at December 31, 2025 and 2024, respectively, in other current assets on our Consolidated Balance Sheets.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portfolio of cash and investments in marketable securities includes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0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17"/>
        </w:trPr>
        <w:tc>
          <w:tcPr>
            <w:tcW w:w="35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Pr>
          <w:p>
            <w:pPr>
              <w:spacing w:after="0"/>
              <w:rPr>
                <w:sz w:val="12"/>
                <w:szCs w:val="12"/>
                <w:color w:val="auto"/>
              </w:rPr>
            </w:pPr>
          </w:p>
        </w:tc>
        <w:tc>
          <w:tcPr>
            <w:tcW w:w="11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notes and bonds</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4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59,769</w:t>
            </w:r>
          </w:p>
        </w:tc>
        <w:tc>
          <w:tcPr>
            <w:tcW w:w="4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59,785</w:t>
            </w:r>
          </w:p>
        </w:tc>
        <w:tc>
          <w:tcPr>
            <w:tcW w:w="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216,482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216,499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FF0FC"/>
          </w:tcPr>
          <w:p>
            <w:pPr>
              <w:ind w:left="80"/>
              <w:spacing w:after="0" w:line="191" w:lineRule="exact"/>
              <w:rPr>
                <w:sz w:val="20"/>
                <w:szCs w:val="20"/>
                <w:color w:val="auto"/>
              </w:rPr>
            </w:pPr>
            <w:r>
              <w:rPr>
                <w:rFonts w:ascii="Times New Roman" w:cs="Times New Roman" w:eastAsia="Times New Roman" w:hAnsi="Times New Roman"/>
                <w:sz w:val="18"/>
                <w:szCs w:val="18"/>
                <w:color w:val="auto"/>
              </w:rPr>
              <w:t>Total cash and investments in marketable</w:t>
            </w: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vMerge w:val="restart"/>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245,752</w:t>
            </w:r>
          </w:p>
        </w:tc>
        <w:tc>
          <w:tcPr>
            <w:tcW w:w="220" w:type="dxa"/>
            <w:vAlign w:val="bottom"/>
            <w:vMerge w:val="restart"/>
            <w:shd w:val="clear" w:color="auto" w:fill="CFF0FC"/>
          </w:tcPr>
          <w:p>
            <w:pPr>
              <w:spacing w:after="0"/>
              <w:rPr>
                <w:sz w:val="16"/>
                <w:szCs w:val="16"/>
                <w:color w:val="auto"/>
              </w:rPr>
            </w:pPr>
          </w:p>
        </w:tc>
        <w:tc>
          <w:tcPr>
            <w:tcW w:w="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269,095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tcBorders>
              <w:bottom w:val="single" w:sz="8" w:color="CFF0FC"/>
            </w:tcBorders>
            <w:shd w:val="clear" w:color="auto" w:fill="CFF0FC"/>
          </w:tcPr>
          <w:p>
            <w:pPr>
              <w:ind w:left="80"/>
              <w:spacing w:after="0" w:line="194" w:lineRule="exact"/>
              <w:rPr>
                <w:sz w:val="20"/>
                <w:szCs w:val="20"/>
                <w:color w:val="auto"/>
              </w:rPr>
            </w:pPr>
            <w:r>
              <w:rPr>
                <w:rFonts w:ascii="Times New Roman" w:cs="Times New Roman" w:eastAsia="Times New Roman" w:hAnsi="Times New Roman"/>
                <w:sz w:val="18"/>
                <w:szCs w:val="18"/>
                <w:color w:val="auto"/>
              </w:rPr>
              <w:t>securities</w:t>
            </w:r>
          </w:p>
        </w:tc>
        <w:tc>
          <w:tcPr>
            <w:tcW w:w="9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vMerge w:val="continue"/>
            <w:shd w:val="clear" w:color="auto" w:fill="CFF0FC"/>
          </w:tcPr>
          <w:p>
            <w:pPr>
              <w:spacing w:after="0"/>
              <w:rPr>
                <w:sz w:val="20"/>
                <w:szCs w:val="20"/>
                <w:color w:val="auto"/>
              </w:rPr>
            </w:pPr>
          </w:p>
        </w:tc>
        <w:tc>
          <w:tcPr>
            <w:tcW w:w="140" w:type="dxa"/>
            <w:vAlign w:val="bottom"/>
            <w:tcBorders>
              <w:bottom w:val="single" w:sz="8" w:color="auto"/>
            </w:tcBorders>
            <w:vMerge w:val="continue"/>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vMerge w:val="continue"/>
            <w:shd w:val="clear" w:color="auto" w:fill="CFF0FC"/>
          </w:tcPr>
          <w:p>
            <w:pPr>
              <w:spacing w:after="0"/>
              <w:rPr>
                <w:sz w:val="20"/>
                <w:szCs w:val="20"/>
                <w:color w:val="auto"/>
              </w:rPr>
            </w:pPr>
          </w:p>
        </w:tc>
        <w:tc>
          <w:tcPr>
            <w:tcW w:w="180" w:type="dxa"/>
            <w:vAlign w:val="bottom"/>
            <w:tcBorders>
              <w:bottom w:val="single" w:sz="8" w:color="auto"/>
            </w:tcBorders>
            <w:vMerge w:val="continue"/>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At December 31, 2024, our gross unrealized gains and losses were insignificant. As of December 31, 2025 and 2024, we assessed our marketable securities with unrealized losses and concluded that the losses were not attributable to credit. For the twelve months ended December 31, 2025 and 2024, there were no transfers between Level 1 and Level 2 of the fair value hierarchy. As of December 31, 2025, we had 19 investments in unrealized loss positions and no investments had been in continuous unrealized loss positions for 12 months or longer. Accordingly, we have not recorded an allowance for credit losses for these securities.</w:t>
      </w:r>
    </w:p>
    <w:p>
      <w:pPr>
        <w:spacing w:after="0" w:line="143" w:lineRule="exact"/>
        <w:rPr>
          <w:sz w:val="20"/>
          <w:szCs w:val="20"/>
          <w:color w:val="auto"/>
        </w:rPr>
      </w:pPr>
    </w:p>
    <w:p>
      <w:pPr>
        <w:ind w:right="120" w:firstLine="644"/>
        <w:spacing w:after="0" w:line="282" w:lineRule="auto"/>
        <w:rPr>
          <w:sz w:val="20"/>
          <w:szCs w:val="20"/>
          <w:color w:val="auto"/>
        </w:rPr>
      </w:pPr>
      <w:r>
        <w:rPr>
          <w:rFonts w:ascii="Times New Roman" w:cs="Times New Roman" w:eastAsia="Times New Roman" w:hAnsi="Times New Roman"/>
          <w:sz w:val="18"/>
          <w:szCs w:val="18"/>
          <w:color w:val="auto"/>
        </w:rPr>
        <w:t>At both December 31, 2025 and 2024, we had letter of credit arrangements in favor of our landlords and certain vendors totaling $7.8 million and $7.5 million, respectively. These letters of credit are secured by investments of similar amounts.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Consolidated Financial Statement Details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current assets consists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244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16,540</w:t>
            </w: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1,947</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non-trade receivables</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1,779</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4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2440" w:type="dxa"/>
            <w:vAlign w:val="bottom"/>
            <w:gridSpan w:val="2"/>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20,514</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6,066</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1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44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13,980</w:t>
            </w:r>
          </w:p>
        </w:tc>
        <w:tc>
          <w:tcPr>
            <w:tcW w:w="1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contract termination costs</w:t>
            </w:r>
          </w:p>
        </w:tc>
        <w:tc>
          <w:tcPr>
            <w:tcW w:w="14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14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accrued expenses</w:t>
            </w:r>
          </w:p>
        </w:tc>
        <w:tc>
          <w:tcPr>
            <w:tcW w:w="1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22,271</w:t>
            </w:r>
          </w:p>
        </w:tc>
        <w:tc>
          <w:tcPr>
            <w:tcW w:w="1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-1756410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-1756410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Equity Method Investment</w:t>
      </w:r>
    </w:p>
    <w:p>
      <w:pPr>
        <w:spacing w:after="0" w:line="175" w:lineRule="exact"/>
        <w:rPr>
          <w:sz w:val="20"/>
          <w:szCs w:val="20"/>
          <w:color w:val="auto"/>
        </w:rPr>
      </w:pPr>
    </w:p>
    <w:p>
      <w:pPr>
        <w:ind w:right="620" w:firstLine="644"/>
        <w:spacing w:after="0" w:line="266" w:lineRule="auto"/>
        <w:rPr>
          <w:sz w:val="20"/>
          <w:szCs w:val="20"/>
          <w:color w:val="auto"/>
        </w:rPr>
      </w:pPr>
      <w:r>
        <w:rPr>
          <w:rFonts w:ascii="Times New Roman" w:cs="Times New Roman" w:eastAsia="Times New Roman" w:hAnsi="Times New Roman"/>
          <w:sz w:val="18"/>
          <w:szCs w:val="18"/>
          <w:color w:val="auto"/>
        </w:rPr>
        <w:t>As discussed in Note 1, on December 2, 2024, we completed the sale of the Facility and certain other manufacturing assets related thereto, including the assignment of our existing manufacturing and supply obligations, to Gannet BioChem, an affiliate of Ampersand, via the APA, for consideration of $64.7 million in cash, net of transaction costs, and an equity interest in Gannet BioChem.</w:t>
      </w:r>
    </w:p>
    <w:p>
      <w:pPr>
        <w:spacing w:after="0" w:line="122"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We own 20.0 million common units of Gannet BioChem at $1.00 per unit, representing 100% of the common units outstanding at both closing of the sale of the Facility and at December 31, 2025, and Ampersand owns 81.5 million preferred units at $1.00 per unit, representing 100% of the preferred units outstanding at closing and 99.7% of the preferred units outstanding as of December 31, 2025. Gannet BioChem has reserved 11.3 million appreciation rights for issuance to its officers, employees, directors and consultants, which may only be settled upon a “company sale” as defined by Gannet BioChem’s equity plan and convert to common units in determining their distribution, less the “base value”, which is equal to the fair value of the common units as determined by Gannet BioChem’s board of directors. As of December 31, 2025, Gannet BioChem has issued 8.4 million stock appreciation rights, which have a $1.00 base value.</w:t>
      </w:r>
    </w:p>
    <w:p>
      <w:pPr>
        <w:spacing w:after="0" w:line="135" w:lineRule="exact"/>
        <w:rPr>
          <w:sz w:val="20"/>
          <w:szCs w:val="20"/>
          <w:color w:val="auto"/>
        </w:rPr>
      </w:pPr>
    </w:p>
    <w:p>
      <w:pPr>
        <w:ind w:right="220" w:firstLine="644"/>
        <w:spacing w:after="0" w:line="258" w:lineRule="auto"/>
        <w:rPr>
          <w:sz w:val="20"/>
          <w:szCs w:val="20"/>
          <w:color w:val="auto"/>
        </w:rPr>
      </w:pPr>
      <w:r>
        <w:rPr>
          <w:rFonts w:ascii="Times New Roman" w:cs="Times New Roman" w:eastAsia="Times New Roman" w:hAnsi="Times New Roman"/>
          <w:sz w:val="18"/>
          <w:szCs w:val="18"/>
          <w:color w:val="auto"/>
        </w:rPr>
        <w:t>In the event of a distribution, to the extent available, the preferred unitholders have priority rights to a cumulative preferred dividend at a certain annual rate of return and a return of their investment before any distributions to common unitholders. After such priority distribution to the preferred unitholders, to the extent available, common unitholders are to receive a distribution of both a cumulative dividend at the same rate as the preferred unitholders’ dividend and a return of their investment, which, for our common units, is equal to $20.0 million (or $1.00 per unit). Any distributions in excess of both of these distributions, if available, are distributed to preferred and common unitholders pro rata.</w:t>
      </w:r>
    </w:p>
    <w:p>
      <w:pPr>
        <w:spacing w:after="0" w:line="129" w:lineRule="exact"/>
        <w:rPr>
          <w:sz w:val="20"/>
          <w:szCs w:val="20"/>
          <w:color w:val="auto"/>
        </w:rPr>
      </w:pPr>
    </w:p>
    <w:p>
      <w:pPr>
        <w:ind w:right="360" w:firstLine="644"/>
        <w:spacing w:after="0" w:line="256" w:lineRule="auto"/>
        <w:rPr>
          <w:sz w:val="20"/>
          <w:szCs w:val="20"/>
          <w:color w:val="auto"/>
        </w:rPr>
      </w:pPr>
      <w:r>
        <w:rPr>
          <w:rFonts w:ascii="Times New Roman" w:cs="Times New Roman" w:eastAsia="Times New Roman" w:hAnsi="Times New Roman"/>
          <w:sz w:val="18"/>
          <w:szCs w:val="18"/>
          <w:color w:val="auto"/>
        </w:rPr>
        <w:t>We have significant influence, but do not control, Gannet BioChem through our noncontrolling representation on Gannet BioChem’s board of directors and our equity interests in Gannet BioChem. Accordingly, we do not consolidate Gannet BioChem and account for our investment in Gannet BioChem using the equity method of accounting. We record our share of Gannet BioChem’s gains and losses under the HLBV basis, which reflects Ampersand’s liquidation preferences as described above. The HLBV method is a balance sheet approach that calculates the change in the hypothetical amount we and Ampersand would be entitled to receive if Gannet BioChem were liquidated at book value, adjusted for any contributions made and distributions received during the period, as well as basis differences between the initial fair value of our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Gannet BioChem and our claim on the net assets of Gannet BioChem. Our loss from our investment in Gannet BioChem for the twelve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is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9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 on net assets of Gannet BioChem - beginning of period</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Claim on net assets of Gannet BioChem - end of period</w:t>
            </w: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20" w:type="dxa"/>
            <w:vAlign w:val="bottom"/>
          </w:tcPr>
          <w:p>
            <w:pPr>
              <w:spacing w:after="0"/>
              <w:rPr>
                <w:sz w:val="18"/>
                <w:szCs w:val="18"/>
                <w:color w:val="auto"/>
              </w:rPr>
            </w:pPr>
          </w:p>
        </w:tc>
      </w:tr>
      <w:tr>
        <w:trPr>
          <w:trHeight w:val="229"/>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claim on net assets of Gannet BioChem</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(8,727)</w:t>
            </w:r>
          </w:p>
        </w:tc>
      </w:tr>
      <w:tr>
        <w:trPr>
          <w:trHeight w:val="20"/>
        </w:trPr>
        <w:tc>
          <w:tcPr>
            <w:tcW w:w="9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7" w:lineRule="exact"/>
        <w:rPr>
          <w:sz w:val="20"/>
          <w:szCs w:val="20"/>
          <w:color w:val="auto"/>
        </w:rPr>
      </w:pPr>
    </w:p>
    <w:p>
      <w:pPr>
        <w:ind w:right="620" w:firstLine="644"/>
        <w:spacing w:after="0" w:line="282" w:lineRule="auto"/>
        <w:rPr>
          <w:sz w:val="20"/>
          <w:szCs w:val="20"/>
          <w:color w:val="auto"/>
        </w:rPr>
      </w:pPr>
      <w:r>
        <w:rPr>
          <w:rFonts w:ascii="Times New Roman" w:cs="Times New Roman" w:eastAsia="Times New Roman" w:hAnsi="Times New Roman"/>
          <w:sz w:val="18"/>
          <w:szCs w:val="18"/>
          <w:color w:val="auto"/>
        </w:rPr>
        <w:t>Gannet BioChem is considered a related party to Nektar. Concurrently with the closing of the transaction, we entered into certain ancillary agreements with Gannet BioChem, including supply agreements for rezpegaldesleukin and NKTR-255, and certain services agreements.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Supply Agreements</w:t>
      </w:r>
    </w:p>
    <w:p>
      <w:pPr>
        <w:spacing w:after="0" w:line="173" w:lineRule="exact"/>
        <w:rPr>
          <w:sz w:val="20"/>
          <w:szCs w:val="20"/>
          <w:color w:val="auto"/>
        </w:rPr>
      </w:pPr>
    </w:p>
    <w:p>
      <w:pPr>
        <w:jc w:val="both"/>
        <w:ind w:right="200" w:firstLine="644"/>
        <w:spacing w:after="0" w:line="261" w:lineRule="auto"/>
        <w:rPr>
          <w:sz w:val="20"/>
          <w:szCs w:val="20"/>
          <w:color w:val="auto"/>
        </w:rPr>
      </w:pPr>
      <w:r>
        <w:rPr>
          <w:rFonts w:ascii="Times New Roman" w:cs="Times New Roman" w:eastAsia="Times New Roman" w:hAnsi="Times New Roman"/>
          <w:sz w:val="18"/>
          <w:szCs w:val="18"/>
          <w:color w:val="auto"/>
        </w:rPr>
        <w:t>Under the terms of the supply agreements, Gannet BioChem has agreed to manufacture and supply the PEG reagents for use in clinical trials of these drug candidates at prices defined within the agreements. There are no minimum purchase commitments and Nektar can terminate the agreement for convenience upon prior written notice. For the twelve months ended December 31, 2025, we recorded $0.7 million as research and development expense for services provided by Gannet BioChem to us in our Consolidated Statements of Operations under the supply agreements.</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Services Agreements</w:t>
      </w:r>
    </w:p>
    <w:p>
      <w:pPr>
        <w:spacing w:after="0" w:line="173" w:lineRule="exact"/>
        <w:rPr>
          <w:sz w:val="20"/>
          <w:szCs w:val="20"/>
          <w:color w:val="auto"/>
        </w:rPr>
      </w:pPr>
    </w:p>
    <w:p>
      <w:pPr>
        <w:ind w:right="200" w:firstLine="644"/>
        <w:spacing w:after="0" w:line="256" w:lineRule="auto"/>
        <w:rPr>
          <w:sz w:val="20"/>
          <w:szCs w:val="20"/>
          <w:color w:val="auto"/>
        </w:rPr>
      </w:pPr>
      <w:r>
        <w:rPr>
          <w:rFonts w:ascii="Times New Roman" w:cs="Times New Roman" w:eastAsia="Times New Roman" w:hAnsi="Times New Roman"/>
          <w:sz w:val="18"/>
          <w:szCs w:val="18"/>
          <w:color w:val="auto"/>
        </w:rPr>
        <w:t>Pursuant to a transition services agreement and full-time employee equivalent agreement, Nektar is performing certain transition services for the benefit of Gannet BioChem, primarily related to information technology and accounting, and Gannet BioChem is performing certain services for the benefit of Nektar, primarily to support research and development activities. The terms of these agreements are no more than two years, subject to certain termination provisions. For the twelve months ended December 31, 2025, we recorded $1.9 million as research and development expense for services provided by Gannet BioChem to us in our Consolidated Statements of Operations. For the twelve months ended December 31, 2025, we recorded $1.1 million as other income in our Consolidated Statements of Operations for services provided by us to Gannet BioChem.</w:t>
      </w:r>
    </w:p>
    <w:p>
      <w:pPr>
        <w:spacing w:after="0" w:line="133" w:lineRule="exact"/>
        <w:rPr>
          <w:sz w:val="20"/>
          <w:szCs w:val="20"/>
          <w:color w:val="auto"/>
        </w:rPr>
      </w:pPr>
    </w:p>
    <w:p>
      <w:pPr>
        <w:jc w:val="both"/>
        <w:ind w:right="140" w:firstLine="644"/>
        <w:spacing w:after="0" w:line="266" w:lineRule="auto"/>
        <w:rPr>
          <w:sz w:val="20"/>
          <w:szCs w:val="20"/>
          <w:color w:val="auto"/>
        </w:rPr>
      </w:pPr>
      <w:r>
        <w:rPr>
          <w:rFonts w:ascii="Times New Roman" w:cs="Times New Roman" w:eastAsia="Times New Roman" w:hAnsi="Times New Roman"/>
          <w:sz w:val="18"/>
          <w:szCs w:val="18"/>
          <w:color w:val="auto"/>
        </w:rPr>
        <w:t>As of December 31, 2025, we recorded a net receivable of $0.4 million from Gannet BioChem and payables of $1.1 million to Gannet BioChem, consisting of amounts billable under the services agreements. We report the net receivable in other current asset and the payables in accounts payable and accrued expenses, respectively, in our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Operating Leases</w:t>
      </w:r>
    </w:p>
    <w:p>
      <w:pPr>
        <w:spacing w:after="0" w:line="189" w:lineRule="exact"/>
        <w:rPr>
          <w:sz w:val="20"/>
          <w:szCs w:val="20"/>
          <w:color w:val="auto"/>
        </w:rPr>
      </w:pPr>
    </w:p>
    <w:p>
      <w:pPr>
        <w:ind w:right="20" w:firstLine="644"/>
        <w:spacing w:after="0" w:line="258" w:lineRule="auto"/>
        <w:rPr>
          <w:sz w:val="20"/>
          <w:szCs w:val="20"/>
          <w:color w:val="auto"/>
        </w:rPr>
      </w:pPr>
      <w:r>
        <w:rPr>
          <w:rFonts w:ascii="Times New Roman" w:cs="Times New Roman" w:eastAsia="Times New Roman" w:hAnsi="Times New Roman"/>
          <w:sz w:val="18"/>
          <w:szCs w:val="18"/>
          <w:color w:val="auto"/>
        </w:rPr>
        <w:t>Our leases consist of a Lease Agreement (the Mission Bay Lease) with ARE-San Francisco No. 19, LLC (ARE) for our 155,215 square foot corporate office and R&amp;D facility located at 455 Mission Bay Boulevard South, San Francisco, California (the Mission Bay Facility) and a Lease Agreement (the Third Street Lease) with Kilroy Realty Finance Partnership, L.P. (Kilroy) for an additional 135,936 square foot of office space at 360 Third Street, San Francisco, California (the Third Street Facility). Both leases terminate on January 31, 2030, subject to two consecutive five year renewal options for the Mission Bay Facility and one five year renewal option for the Third Street Facility. Other key terms include the following:</w:t>
      </w:r>
    </w:p>
    <w:p>
      <w:pPr>
        <w:spacing w:after="0" w:line="156" w:lineRule="exact"/>
        <w:rPr>
          <w:sz w:val="20"/>
          <w:szCs w:val="20"/>
          <w:color w:val="auto"/>
        </w:rPr>
      </w:pPr>
    </w:p>
    <w:p>
      <w:pPr>
        <w:ind w:left="1300" w:hanging="648"/>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base rent for both facilities will escalate over the term of the lease at various intervals.</w:t>
      </w:r>
    </w:p>
    <w:p>
      <w:pPr>
        <w:spacing w:after="0" w:line="184" w:lineRule="exact"/>
        <w:rPr>
          <w:rFonts w:ascii="Times New Roman" w:cs="Times New Roman" w:eastAsia="Times New Roman" w:hAnsi="Times New Roman"/>
          <w:sz w:val="18"/>
          <w:szCs w:val="18"/>
          <w:color w:val="auto"/>
        </w:rPr>
      </w:pPr>
    </w:p>
    <w:p>
      <w:pPr>
        <w:ind w:left="1300" w:right="100" w:hanging="648"/>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leases include various covenants, indemnities, defaults, termination rights, letters of credit and other provisions customary for lease transactions of this nature.</w:t>
      </w:r>
    </w:p>
    <w:p>
      <w:pPr>
        <w:spacing w:after="0" w:line="121" w:lineRule="exact"/>
        <w:rPr>
          <w:rFonts w:ascii="Times New Roman" w:cs="Times New Roman" w:eastAsia="Times New Roman" w:hAnsi="Times New Roman"/>
          <w:sz w:val="18"/>
          <w:szCs w:val="18"/>
          <w:color w:val="auto"/>
        </w:rPr>
      </w:pPr>
    </w:p>
    <w:p>
      <w:pPr>
        <w:ind w:left="1300" w:right="60" w:hanging="648"/>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the Mission Bay Lease, we are responsible for paying our share of operating expenses specified in the lease, including utilities, common area maintenance, insurance costs and taxes.</w:t>
      </w:r>
    </w:p>
    <w:p>
      <w:pPr>
        <w:spacing w:after="0" w:line="134" w:lineRule="exact"/>
        <w:rPr>
          <w:rFonts w:ascii="Times New Roman" w:cs="Times New Roman" w:eastAsia="Times New Roman" w:hAnsi="Times New Roman"/>
          <w:sz w:val="18"/>
          <w:szCs w:val="18"/>
          <w:color w:val="auto"/>
        </w:rPr>
      </w:pPr>
    </w:p>
    <w:p>
      <w:pPr>
        <w:ind w:left="1300" w:right="100" w:hanging="648"/>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Third Street Lease, our fixed annual base rent on an industrial gross lease basis includes certain expenses and property taxes paid directly by the landlord.</w:t>
      </w:r>
    </w:p>
    <w:p>
      <w:pPr>
        <w:spacing w:after="0" w:line="121" w:lineRule="exact"/>
        <w:rPr>
          <w:sz w:val="20"/>
          <w:szCs w:val="20"/>
          <w:color w:val="auto"/>
        </w:rPr>
      </w:pPr>
    </w:p>
    <w:p>
      <w:pPr>
        <w:ind w:right="360" w:firstLine="644"/>
        <w:spacing w:after="0" w:line="282" w:lineRule="auto"/>
        <w:rPr>
          <w:sz w:val="20"/>
          <w:szCs w:val="20"/>
          <w:color w:val="auto"/>
        </w:rPr>
      </w:pPr>
      <w:r>
        <w:rPr>
          <w:rFonts w:ascii="Times New Roman" w:cs="Times New Roman" w:eastAsia="Times New Roman" w:hAnsi="Times New Roman"/>
          <w:sz w:val="18"/>
          <w:szCs w:val="18"/>
          <w:color w:val="auto"/>
        </w:rPr>
        <w:t>Due to our 2022 and 2023 Restructuring Plans, during the years ended December 31, 2025 and 2024, we recorded impairment charges of $3.8 million and $7.3 million, respectively, for our right-of-use assets which we are seeking to sublease. See Note 10 for additional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We generally recognize lease expense for our operating leases on a straight-line basis over the lease term. For spaces where we have recognized an impairment charge, the aggregate lease expense recognized over the remaining term is reduced by the amount of the impairment charge, but we recognize the remaining lease expense on an accelerated basis. The components of lease expense, which we include in general and administrative expense in our Consolidated Statements of Operations, were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36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040" w:type="dxa"/>
            <w:vAlign w:val="bottom"/>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98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8,723</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3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8"/>
                <w:szCs w:val="18"/>
                <w:color w:val="auto"/>
              </w:rPr>
            </w:pPr>
          </w:p>
        </w:tc>
      </w:tr>
      <w:tr>
        <w:trPr>
          <w:trHeight w:val="250"/>
        </w:trPr>
        <w:tc>
          <w:tcPr>
            <w:tcW w:w="7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lease expense</w:t>
            </w:r>
          </w:p>
        </w:tc>
        <w:tc>
          <w:tcPr>
            <w:tcW w:w="1040" w:type="dxa"/>
            <w:vAlign w:val="bottom"/>
            <w:tcBorders>
              <w:bottom w:val="single" w:sz="8" w:color="auto"/>
            </w:tcBorders>
            <w:shd w:val="clear" w:color="auto" w:fill="CFF0FC"/>
          </w:tcPr>
          <w:p>
            <w:pPr>
              <w:jc w:val="right"/>
              <w:ind w:right="88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15,060</w:t>
            </w:r>
          </w:p>
        </w:tc>
        <w:tc>
          <w:tcPr>
            <w:tcW w:w="3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we paid $22.3 million and $21.6 million, respectively, of operating lease payments related to our lease liabilities, which we include in net cash used in operating activities in our Consolidated Statements of Cash Flows.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 of December 31, 2025, the maturities of our operating lease liabilities were as follows (in thousands):</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21,096</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23,682</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24,427</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2030 and thereafter</w:t>
            </w: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8"/>
                <w:szCs w:val="18"/>
                <w:color w:val="auto"/>
              </w:rPr>
            </w:pP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96,508</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portion representing interest</w:t>
            </w:r>
          </w:p>
        </w:tc>
        <w:tc>
          <w:tcPr>
            <w:tcW w:w="7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(10,757)</w:t>
            </w: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85,751</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current portion</w:t>
            </w:r>
          </w:p>
        </w:tc>
        <w:tc>
          <w:tcPr>
            <w:tcW w:w="7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(20,495)</w:t>
            </w:r>
          </w:p>
        </w:tc>
      </w:tr>
      <w:tr>
        <w:trPr>
          <w:trHeight w:val="249"/>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700" w:type="dxa"/>
            <w:vAlign w:val="bottom"/>
            <w:tcBorders>
              <w:top w:val="single" w:sz="8" w:color="auto"/>
              <w:bottom w:val="single" w:sz="8" w:color="auto"/>
            </w:tcBorders>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the weighted-average remaining lease term is 4.1 years and the weighted-average discount rate was 5.8%.</w:t>
      </w:r>
    </w:p>
    <w:p>
      <w:pPr>
        <w:spacing w:after="0" w:line="185" w:lineRule="exact"/>
        <w:rPr>
          <w:sz w:val="20"/>
          <w:szCs w:val="20"/>
          <w:color w:val="auto"/>
        </w:rPr>
      </w:pPr>
    </w:p>
    <w:p>
      <w:pPr>
        <w:ind w:firstLine="644"/>
        <w:spacing w:after="0" w:line="261" w:lineRule="auto"/>
        <w:rPr>
          <w:sz w:val="20"/>
          <w:szCs w:val="20"/>
          <w:color w:val="auto"/>
        </w:rPr>
      </w:pPr>
      <w:r>
        <w:rPr>
          <w:rFonts w:ascii="Times New Roman" w:cs="Times New Roman" w:eastAsia="Times New Roman" w:hAnsi="Times New Roman"/>
          <w:sz w:val="18"/>
          <w:szCs w:val="18"/>
          <w:color w:val="auto"/>
        </w:rPr>
        <w:t>We have entered into subleases for approximately 29,000 square feet of space in our Mission Bay Facility that provide for fixed lease payments, as well as full recovery of the subtenants’ share of operating expenses under our master lease agreement, subject to certain free rent periods. We record the total sublease income as a reduction of general and administrative expense, which totaled $3.7 million and $3.2 million for the years ended December 31, 2025 and 2024, respectively.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maturities of our operating lease receivables from subleases for each of the next five years and thereafter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7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8"/>
                <w:szCs w:val="18"/>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7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2030 and thereafter</w:t>
            </w:r>
          </w:p>
        </w:tc>
        <w:tc>
          <w:tcPr>
            <w:tcW w:w="78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lease receivable</w:t>
            </w: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Liabilities Related to the Sales of Future Royalties</w:t>
      </w:r>
    </w:p>
    <w:p>
      <w:pPr>
        <w:spacing w:after="0" w:line="202" w:lineRule="exact"/>
        <w:rPr>
          <w:sz w:val="20"/>
          <w:szCs w:val="20"/>
          <w:color w:val="auto"/>
        </w:rPr>
      </w:pPr>
    </w:p>
    <w:p>
      <w:pPr>
        <w:ind w:right="280" w:firstLine="644"/>
        <w:spacing w:after="0" w:line="233" w:lineRule="auto"/>
        <w:rPr>
          <w:sz w:val="20"/>
          <w:szCs w:val="20"/>
          <w:color w:val="auto"/>
        </w:rPr>
      </w:pPr>
      <w:r>
        <w:rPr>
          <w:rFonts w:ascii="Times New Roman" w:cs="Times New Roman" w:eastAsia="Times New Roman" w:hAnsi="Times New Roman"/>
          <w:sz w:val="18"/>
          <w:szCs w:val="18"/>
          <w:color w:val="auto"/>
        </w:rPr>
        <w:t>On February 24, 2012, for gross proceeds of $124.0 million, we entered into a purchase and sale agreement (the 2012 Purchase and Sale Agreement) with RPI Finance Trust (RPI), an affiliate of Royalty Pharma, pursuant to which we sold, and RPI purchased, our right to receive royalty payments (the 2012 Transaction Royalties) arising from the worldwide net sales, from and after January 1, 2012, of (a)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under our license, manufacturing and supply agreement with UCB Pharma (UCB), and (b)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under our license, manufacturing and supply agreement with F. Hoffmann-La Roche Ltd and Hoffmann-La Roche Inc. (together referred to as Roche). As a result of our ongoing manufacturing and supply obligations related to the generation of these royalties, we recorded the proceeds as debt, and we recognize non-cash royalty revenue, as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20"/>
        <w:spacing w:after="0" w:line="227" w:lineRule="auto"/>
        <w:rPr>
          <w:sz w:val="20"/>
          <w:szCs w:val="20"/>
          <w:color w:val="auto"/>
        </w:rPr>
      </w:pPr>
      <w:r>
        <w:rPr>
          <w:rFonts w:ascii="Times New Roman" w:cs="Times New Roman" w:eastAsia="Times New Roman" w:hAnsi="Times New Roman"/>
          <w:sz w:val="18"/>
          <w:szCs w:val="18"/>
          <w:color w:val="auto"/>
        </w:rPr>
        <w:t>royalties from the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 are remitted directly to RPI, and non-cash interest expense to amortize the liability using the effective interest method over the estimated life of the 2012 Purchase and Sale Agreement.</w:t>
      </w:r>
    </w:p>
    <w:p>
      <w:pPr>
        <w:spacing w:after="0" w:line="178" w:lineRule="exact"/>
        <w:rPr>
          <w:sz w:val="20"/>
          <w:szCs w:val="20"/>
          <w:color w:val="auto"/>
        </w:rPr>
      </w:pPr>
    </w:p>
    <w:p>
      <w:pPr>
        <w:ind w:right="60" w:firstLine="644"/>
        <w:spacing w:after="0" w:line="234" w:lineRule="auto"/>
        <w:rPr>
          <w:sz w:val="20"/>
          <w:szCs w:val="20"/>
          <w:color w:val="auto"/>
        </w:rPr>
      </w:pPr>
      <w:r>
        <w:rPr>
          <w:rFonts w:ascii="Times New Roman" w:cs="Times New Roman" w:eastAsia="Times New Roman" w:hAnsi="Times New Roman"/>
          <w:sz w:val="18"/>
          <w:szCs w:val="18"/>
          <w:color w:val="auto"/>
        </w:rPr>
        <w:t>We were required to pay RPI an aggregate $10.0 million as a result of worldwide net sales of MIRCERA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during the years 2013 and 2012 not reaching certain minimum thresholds. The 2012 Purchase and Sale Agreement does not include any other potential payments related to minimum net sales thresholds.</w:t>
      </w:r>
    </w:p>
    <w:p>
      <w:pPr>
        <w:spacing w:after="0" w:line="157" w:lineRule="exact"/>
        <w:rPr>
          <w:sz w:val="20"/>
          <w:szCs w:val="20"/>
          <w:color w:val="auto"/>
        </w:rPr>
      </w:pPr>
    </w:p>
    <w:p>
      <w:pPr>
        <w:ind w:right="120" w:firstLine="644"/>
        <w:spacing w:after="0" w:line="258" w:lineRule="auto"/>
        <w:rPr>
          <w:sz w:val="20"/>
          <w:szCs w:val="20"/>
          <w:color w:val="auto"/>
        </w:rPr>
      </w:pPr>
      <w:r>
        <w:rPr>
          <w:rFonts w:ascii="Times New Roman" w:cs="Times New Roman" w:eastAsia="Times New Roman" w:hAnsi="Times New Roman"/>
          <w:sz w:val="18"/>
          <w:szCs w:val="18"/>
          <w:color w:val="auto"/>
        </w:rPr>
        <w:t>On June 5, 2020, UCB served notice of a Declaratory Judgment of Patent Invalidity, filed in the United States District Court for the District of Delaware, seeking a declaration of invalidity of certain of our patents that we had licensed to UCB and pursued similar actions in other jurisdictions. On October 14, 2021, RPI and we entered into a Letter Agreement which permitted us to enter into a Settlement Agreement, effective October 13, 2021, with UCB to effect the negotiation between RPI and UCB in which UCB and RPI agreed to a reduction in the royalty term and annual decreases in the royalty rate over the remaining royalty term in exchange for UCB’s withdrawal of all of UCB’s litigation and challenges.</w:t>
      </w:r>
    </w:p>
    <w:p>
      <w:pPr>
        <w:spacing w:after="0" w:line="143"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concluded that we should account for the decrease in royalty payments to RPI as a result of these agreements as a modification of our liability. Due to the significance of the change in the estimated royalty payments, we concluded that we should treat the modification as an extinguishment of the prior liability and recognize a new liability based on the revised royalty payments and term, discounted to fair value. Accordingly, we estimated the fair value to be approximately $84.7 million. As a result, we recognized a non-cash loss of $23.5 million on the revaluation of the prior liability in the three months ended December 31, 2021, and we wrote off the remaining $0.9 million of unamortized transaction costs.</w:t>
      </w:r>
    </w:p>
    <w:p>
      <w:pPr>
        <w:spacing w:after="0" w:line="156" w:lineRule="exact"/>
        <w:rPr>
          <w:sz w:val="20"/>
          <w:szCs w:val="20"/>
          <w:color w:val="auto"/>
        </w:rPr>
      </w:pPr>
    </w:p>
    <w:p>
      <w:pPr>
        <w:jc w:val="both"/>
        <w:ind w:right="100" w:firstLine="644"/>
        <w:spacing w:after="0" w:line="272" w:lineRule="auto"/>
        <w:rPr>
          <w:sz w:val="20"/>
          <w:szCs w:val="20"/>
          <w:color w:val="auto"/>
        </w:rPr>
      </w:pPr>
      <w:r>
        <w:rPr>
          <w:rFonts w:ascii="Times New Roman" w:cs="Times New Roman" w:eastAsia="Times New Roman" w:hAnsi="Times New Roman"/>
          <w:sz w:val="17"/>
          <w:szCs w:val="17"/>
          <w:color w:val="auto"/>
        </w:rPr>
        <w:t>On December 16, 2020, for gross proceeds of $150.0 million, we entered into a capped purchase and sale agreement (the 2020 Purchase and Sale Agreement) with entities managed by Healthcare Royalty Management, LLC (collectively, HCR). Pursuant to the 2020 Purchase and Sale Agreement, we agreed to sell to HCR certain of our rights to receive royalty payments arising from the worldwide net sales, from and after October 1, 2020, of (a)</w:t>
      </w:r>
    </w:p>
    <w:p>
      <w:pPr>
        <w:spacing w:after="0" w:line="2"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8"/>
          <w:szCs w:val="18"/>
          <w:color w:val="auto"/>
        </w:rPr>
        <w:t>MOVANTIK</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 our license agreement with AstraZeneca AB (Astra Zeneca), as amended, (b) ADYNOVATE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 our research, development, license and manufacturing and supply agreement with Baxalta US Inc. and Baxalta GmbH (collectively, Baxalta), as amended, (c) REBINYN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 our settlement and license agreement with Novo Nordisk Inc., Novo Nordisk A/S and Novo Nordisk A/G and (d) licensed products under that our right to sublicense agreement with Baxalta. As a result of the cap on the royalties to be received by HCR and our ongoing manufacturing and supply obligations related to the generation of these royalties, we recorded the proceeds as debt, and we recognize non-cash royalty revenue, as royalties from these products are remitted directly to HCR, and non-cash interest expense to amortize the liability using the effective interest method over the estimated life of the 2020 Purchase and Sale Agreement. As of December 31, 2025, our prospective effective interest rate used to amortize the liability is 49.2%.</w:t>
      </w:r>
    </w:p>
    <w:p>
      <w:pPr>
        <w:spacing w:after="0" w:line="162"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The original 2020 Purchase and Sale Agreement was to expire -- and wherein the right to receive royalties would revert to us -- if HCR received aggregate royalties of $210.0 million on or prior to December 31, 2025 (the 2025 Threshold), or, if the 2025 Threshold was not achieved by December 31, 2025, when HCR received aggregate royalties of $240.0 million. On March 4, 2024, Nektar and HCR amended the original 2020 Purchase and Sale Agreement (the Amendment), pursuant to which the parties agreed to remove our reversionary rights in the royalties in exchange for a $15.0 million payment from HCR. Accordingly, HCR will receive all future royalties of the products, and none of these royalties will return to Nektar. We accounted for the Amendment as a modification of the existing arrangement, and therefore recorded the $15.0 million proceeds as an increase to the liability.</w:t>
      </w:r>
    </w:p>
    <w:p>
      <w:pPr>
        <w:spacing w:after="0" w:line="147" w:lineRule="exact"/>
        <w:rPr>
          <w:sz w:val="20"/>
          <w:szCs w:val="20"/>
          <w:color w:val="auto"/>
        </w:rPr>
      </w:pPr>
    </w:p>
    <w:p>
      <w:pPr>
        <w:ind w:right="780" w:firstLine="644"/>
        <w:spacing w:after="0" w:line="282" w:lineRule="auto"/>
        <w:rPr>
          <w:sz w:val="20"/>
          <w:szCs w:val="20"/>
          <w:color w:val="auto"/>
        </w:rPr>
      </w:pPr>
      <w:r>
        <w:rPr>
          <w:rFonts w:ascii="Times New Roman" w:cs="Times New Roman" w:eastAsia="Times New Roman" w:hAnsi="Times New Roman"/>
          <w:sz w:val="18"/>
          <w:szCs w:val="18"/>
          <w:color w:val="auto"/>
        </w:rPr>
        <w:t>The sale of the Facility did not alter the 2012 or the 2020 Purchase and Sale Agreements, nor royalties payable under the related license agreements.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activity within the liability account of each arrangement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tcPr>
          <w:p>
            <w:pPr>
              <w:jc w:val="center"/>
              <w:ind w:left="523"/>
              <w:spacing w:after="0"/>
              <w:rPr>
                <w:sz w:val="20"/>
                <w:szCs w:val="20"/>
                <w:color w:val="auto"/>
              </w:rPr>
            </w:pPr>
            <w:r>
              <w:rPr>
                <w:rFonts w:ascii="Times New Roman" w:cs="Times New Roman" w:eastAsia="Times New Roman" w:hAnsi="Times New Roman"/>
                <w:sz w:val="14"/>
                <w:szCs w:val="14"/>
                <w:b w:val="1"/>
                <w:bCs w:val="1"/>
                <w:color w:val="auto"/>
              </w:rPr>
              <w:t>Period from inception to</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2012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2020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3"/>
              <w:spacing w:after="0" w:line="118" w:lineRule="exact"/>
              <w:rPr>
                <w:sz w:val="20"/>
                <w:szCs w:val="20"/>
                <w:color w:val="auto"/>
              </w:rPr>
            </w:pPr>
            <w:r>
              <w:rPr>
                <w:rFonts w:ascii="Times New Roman" w:cs="Times New Roman" w:eastAsia="Times New Roman" w:hAnsi="Times New Roman"/>
                <w:sz w:val="13"/>
                <w:szCs w:val="13"/>
                <w:b w:val="1"/>
                <w:bCs w:val="1"/>
                <w:color w:val="auto"/>
              </w:rPr>
              <w:t>2012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22"/>
              <w:spacing w:after="0" w:line="118" w:lineRule="exact"/>
              <w:rPr>
                <w:sz w:val="20"/>
                <w:szCs w:val="20"/>
                <w:color w:val="auto"/>
              </w:rPr>
            </w:pPr>
            <w:r>
              <w:rPr>
                <w:rFonts w:ascii="Times New Roman" w:cs="Times New Roman" w:eastAsia="Times New Roman" w:hAnsi="Times New Roman"/>
                <w:sz w:val="13"/>
                <w:szCs w:val="13"/>
                <w:b w:val="1"/>
                <w:bCs w:val="1"/>
                <w:color w:val="auto"/>
              </w:rPr>
              <w:t>2020</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and Sale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and Sale</w:t>
            </w:r>
          </w:p>
        </w:tc>
        <w:tc>
          <w:tcPr>
            <w:tcW w:w="18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and Sale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and Sale</w:t>
            </w:r>
          </w:p>
        </w:tc>
        <w:tc>
          <w:tcPr>
            <w:tcW w:w="18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 related to the sales of future royalties—beginning balance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7,197</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85,522</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92,719</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Royalty monetization proceeds</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124,000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Non-cash royalty revenue</w:t>
            </w: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(7,894)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(47,038)</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(54,932)</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(388,622)</w:t>
            </w:r>
          </w:p>
        </w:tc>
        <w:tc>
          <w:tcPr>
            <w:tcW w:w="22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(202,743)</w:t>
            </w: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(591,365)</w:t>
            </w: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253,170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Payments to RPI</w:t>
            </w: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tcBorders>
              <w:left w:val="single" w:sz="8" w:color="CFF0FC"/>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on revaluation of liability related to the sale of future royalties</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 related to the sales of future royalties – ending balance</w:t>
            </w: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61,901</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63,971</w:t>
            </w:r>
          </w:p>
        </w:tc>
        <w:tc>
          <w:tcPr>
            <w:tcW w:w="2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220" w:type="dxa"/>
            <w:vAlign w:val="bottom"/>
            <w:tcBorders>
              <w:left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61,901</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Less: unamortized transaction costs</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(814)</w:t>
            </w:r>
          </w:p>
        </w:tc>
        <w:tc>
          <w:tcPr>
            <w:tcW w:w="1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(814)</w:t>
            </w:r>
          </w:p>
        </w:tc>
        <w:tc>
          <w:tcPr>
            <w:tcW w:w="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Liabilities related to the sales of future royalties, net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61,087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63,157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2,070</w:t>
            </w:r>
          </w:p>
        </w:tc>
        <w:tc>
          <w:tcPr>
            <w:tcW w:w="30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61,087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-24765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-7620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89" w:lineRule="exact"/>
        <w:rPr>
          <w:sz w:val="20"/>
          <w:szCs w:val="20"/>
          <w:color w:val="auto"/>
        </w:rPr>
      </w:pPr>
    </w:p>
    <w:p>
      <w:pPr>
        <w:ind w:right="260" w:firstLine="644"/>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various firm purchase commitments related to contract manufacturing, clinical development and certain other items. As of December 31, 2025, these commitments were approximately $3.7 million.</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02" w:lineRule="exact"/>
        <w:rPr>
          <w:sz w:val="20"/>
          <w:szCs w:val="20"/>
          <w:color w:val="auto"/>
        </w:rPr>
      </w:pPr>
    </w:p>
    <w:p>
      <w:pPr>
        <w:ind w:right="80" w:firstLine="644"/>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lawsuits, arbitrations, claims, investigations and proceedings, consisting of intellectual property, commercial, employment and other matters, which arise in the ordinary course of business. We make provisions for liabilities when it is both probable that a liability has been incurred and the amount of the loss can be reasonably estimated. Such provisions are reviewed at each reporting date and adjusted to reflect the impact of settlement negotiations, judicial and administrative rulings, advice of legal counsel, and other information and events pertaining to a particular case. Litigation is inherently unpredictable. If any unfavorable ruling were to occur in any specific period, there exists the possibility of a material adverse impact on the results of our operations for that period and on our cash flows and liquidity.</w:t>
      </w:r>
    </w:p>
    <w:p>
      <w:pPr>
        <w:spacing w:after="0" w:line="147" w:lineRule="exact"/>
        <w:rPr>
          <w:sz w:val="20"/>
          <w:szCs w:val="20"/>
          <w:color w:val="auto"/>
        </w:rPr>
      </w:pPr>
    </w:p>
    <w:p>
      <w:pPr>
        <w:ind w:right="20" w:firstLine="644"/>
        <w:spacing w:after="0" w:line="254" w:lineRule="auto"/>
        <w:rPr>
          <w:sz w:val="20"/>
          <w:szCs w:val="20"/>
          <w:color w:val="auto"/>
        </w:rPr>
      </w:pPr>
      <w:r>
        <w:rPr>
          <w:rFonts w:ascii="Times New Roman" w:cs="Times New Roman" w:eastAsia="Times New Roman" w:hAnsi="Times New Roman"/>
          <w:sz w:val="18"/>
          <w:szCs w:val="18"/>
          <w:color w:val="auto"/>
        </w:rPr>
        <w:t>On August 7, 2023, we filed a complaint in the United States District Court for the Northern District of California (the Court) against Eli Lilly and Company (Lilly) alleging, among other claims, breach of contract and breach of implied covenant of good faith and fair dealing (the Complaint), in connection with our collaboration with Lilly. Following the denial of its motion to dismiss the Complaint entirely, Lilly filed an answer that included counterclaims against us alleging breach of specified confidentiality provisions and defamation. On September 19, 2025, Lilly filed a motion to voluntarily dismiss its counterclaims with prejudice, which the Court granted on October 7, 2025. Lilly has filed a motion for summary judgment, and the court has not yet issued a decision on this motion, as well as other pre-trial motions filed by both parties that remain pending before the Court. Following the shutdown of the federal government, on October 14, 2025, the Court postponed the previously calendared October 27, 2025 starting date of the jury trial. The Court has set a new jury trial date of September 8, 2026.</w:t>
      </w:r>
    </w:p>
    <w:p>
      <w:pPr>
        <w:spacing w:after="0" w:line="15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After previously authorizing and paying good and service tax (GST) refunds of approximately $3.3 million for the period of July 2017 to September 2019, the Indian GST authorities issued a show cause notice in October 2023 seeking to recover this refund, plus penalties and interest, for which we have subsequently received a demand in September 2025 seeking payment to Indian GST authorities. We have not paid the demand in view of an appeal we filed with the Indian authorities, and believe that we have meritorious defenses against the demand. We believe a loss is not probable and therefore have not accrued a liability as of December 31, 2025.</w:t>
      </w:r>
    </w:p>
    <w:p>
      <w:pPr>
        <w:spacing w:after="0" w:line="11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On March 6, 2026, a putative class action complaint was filed in the U.S. District Court for the Northern District of California against the Company, our CEO, CFO and Chief Research and Development Officer, captioned Schramke v. Nektar Therapeutics, et al. The complaint asserts claims for violations of Sections 10(b) and 20(a) of the Securities Exchange Act and SEC rules promulgated thereunder, seeks damages, attorneys’ fees and other relief, and alleges, among other things, that from February 26, 2025 through December 15, 2025, the defendants made misleading statements and/or failed 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disclose material information regarding the REZOLVE-AA trial. The Company denies the claims, believes they are without merit, and intends to defend vigorously against this litigation. We have not recorded a liability for this matter as of December 31, 2025.</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recorded no liability for any litigation matters in our Consolidated Balance Sheets at either December 31, 2025 or December 31, 2024.</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Obligations</w:t>
      </w:r>
    </w:p>
    <w:p>
      <w:pPr>
        <w:spacing w:after="0" w:line="189"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During the course of our normal operating activities, we have agreed to certain contingent indemnification obligations as further described below. The term of our indemnification obligations is generally perpetual. There is generally no limitation on the potential amount of future payments we could be required to make under these indemnification obligations. To date, we have not incurred significant costs to defend lawsuits or settle claims based on our indemnification obligations. If any of our indemnification obligations is triggered, we may incur substantial liabilities. Because the aggregate amount of any of these potential indemnification obligations is not a stated amount, we cannot reasonably estimate the overall maximum amount of any such obligations. We have recorded no liabilities for these obligations in our Consolidated Balance Sheets at either December 31, 2025 or December 31, 2024.</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Indemnifications in Connection with Commercial Agreements</w:t>
      </w:r>
    </w:p>
    <w:p>
      <w:pPr>
        <w:spacing w:after="0" w:line="200"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As part of our collaboration agreements with our partners related to the license, development, manufacture and supply of our proprietary drug candidates, we generally agree to defend, indemnify and hold harmless our partners from and against third party liabilities arising out of the agreement, including product liability (with respect to our activities) and infringement of intellectual property to the extent the intellectual property is developed by us and licensed to our partners. The term of these indemnification obligations is generally perpetual commencing after execution of the agreement. There is generally no limitation on the potential amount of future payments we could be required to make under these indemnification obligations.</w:t>
      </w:r>
    </w:p>
    <w:p>
      <w:pPr>
        <w:spacing w:after="0" w:line="143" w:lineRule="exact"/>
        <w:rPr>
          <w:sz w:val="20"/>
          <w:szCs w:val="20"/>
          <w:color w:val="auto"/>
        </w:rPr>
      </w:pPr>
    </w:p>
    <w:p>
      <w:pPr>
        <w:ind w:right="60" w:firstLine="644"/>
        <w:spacing w:after="0" w:line="256" w:lineRule="auto"/>
        <w:rPr>
          <w:sz w:val="20"/>
          <w:szCs w:val="20"/>
          <w:color w:val="auto"/>
        </w:rPr>
      </w:pPr>
      <w:r>
        <w:rPr>
          <w:rFonts w:ascii="Times New Roman" w:cs="Times New Roman" w:eastAsia="Times New Roman" w:hAnsi="Times New Roman"/>
          <w:sz w:val="18"/>
          <w:szCs w:val="18"/>
          <w:color w:val="auto"/>
        </w:rPr>
        <w:t>From time to time, we enter into other strategic agreements such as divestitures and financing transactions pursuant to which we are required to make representations and warranties and undertake to perform or comply with certain covenants. For example, we made certain intellectual property representations in connection with our RPI and HCR transactions, however, the time limitation we have to indemnify RPI with respect to any breach of these intellectual property-based representations and warranties has passed. In the event it is determined that we breached certain of the representations and warranties or covenants made by us in any such agreements or certain express indemnification provisions are applicable, we could incur substantial indemnification liabilities depending on the timing, nature, and amount of any such claims.</w:t>
      </w:r>
    </w:p>
    <w:p>
      <w:pPr>
        <w:spacing w:after="0" w:line="147" w:lineRule="exact"/>
        <w:rPr>
          <w:sz w:val="20"/>
          <w:szCs w:val="20"/>
          <w:color w:val="auto"/>
        </w:rPr>
      </w:pPr>
    </w:p>
    <w:p>
      <w:pPr>
        <w:ind w:right="340" w:firstLine="644"/>
        <w:spacing w:after="0" w:line="266" w:lineRule="auto"/>
        <w:rPr>
          <w:sz w:val="20"/>
          <w:szCs w:val="20"/>
          <w:color w:val="auto"/>
        </w:rPr>
      </w:pPr>
      <w:r>
        <w:rPr>
          <w:rFonts w:ascii="Times New Roman" w:cs="Times New Roman" w:eastAsia="Times New Roman" w:hAnsi="Times New Roman"/>
          <w:sz w:val="18"/>
          <w:szCs w:val="18"/>
          <w:color w:val="auto"/>
        </w:rPr>
        <w:t>To date, we have not incurred any costs to defend lawsuits or settle claims related to these indemnification obligations, nor any breaches of representations or warranties or covenants. Because the aggregate amount of any potential indemnification obligation is not a stated amount, we cannot reasonably estimate the overall maximum amount of any such obligations.</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Indemnification of Underwriters and Initial Purchasers of our Securities</w:t>
      </w:r>
    </w:p>
    <w:p>
      <w:pPr>
        <w:spacing w:after="0" w:line="187"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In connection with our sale of equity we have agreed to defend, indemnify and hold harmless our underwriters or initial purchasers, as applicable, as well as certain related parties from and against certain liabilities, including liabilities under the Securities Act of 1933, as amended.</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Director and Officer Indemnifications</w:t>
      </w:r>
    </w:p>
    <w:p>
      <w:pPr>
        <w:spacing w:after="0" w:line="200" w:lineRule="exact"/>
        <w:rPr>
          <w:sz w:val="20"/>
          <w:szCs w:val="20"/>
          <w:color w:val="auto"/>
        </w:rPr>
      </w:pPr>
    </w:p>
    <w:p>
      <w:pPr>
        <w:ind w:firstLine="644"/>
        <w:spacing w:after="0" w:line="254" w:lineRule="auto"/>
        <w:rPr>
          <w:sz w:val="20"/>
          <w:szCs w:val="20"/>
          <w:color w:val="auto"/>
        </w:rPr>
      </w:pPr>
      <w:r>
        <w:rPr>
          <w:rFonts w:ascii="Times New Roman" w:cs="Times New Roman" w:eastAsia="Times New Roman" w:hAnsi="Times New Roman"/>
          <w:sz w:val="18"/>
          <w:szCs w:val="18"/>
          <w:color w:val="auto"/>
        </w:rPr>
        <w:t>As permitted under Delaware law, and as set forth in our Certificate of Incorporation and our Bylaws, we indemnify our directors, executive officers, other officers, employees, and other agents for certain events or occurrences that may arise while in such capacity. The maximum potential amount of future payments we could be required to make under this indemnification is unlimited; however, we have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any obligations under this indemnification would not be material, other than retention of up to $2.5 million per incident for merger and acquisition related claims, $2.5 million per incident for securities related claims and $2.5 million per incident for non-securities related claims per our insurance policy. However,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189" w:lineRule="exact"/>
        <w:rPr>
          <w:sz w:val="20"/>
          <w:szCs w:val="20"/>
          <w:color w:val="auto"/>
        </w:rPr>
      </w:pPr>
    </w:p>
    <w:p>
      <w:pPr>
        <w:ind w:right="240" w:firstLine="644"/>
        <w:spacing w:after="0" w:line="261" w:lineRule="auto"/>
        <w:rPr>
          <w:sz w:val="20"/>
          <w:szCs w:val="20"/>
          <w:color w:val="auto"/>
        </w:rPr>
      </w:pPr>
      <w:r>
        <w:rPr>
          <w:rFonts w:ascii="Times New Roman" w:cs="Times New Roman" w:eastAsia="Times New Roman" w:hAnsi="Times New Roman"/>
          <w:sz w:val="18"/>
          <w:szCs w:val="18"/>
          <w:color w:val="auto"/>
        </w:rPr>
        <w:t>On June 6, 2025, we filed a Certificate of Amendment to the Certificate of Incorporation, or the Increase in Shares Amendment, to increase the number of authorized shares of the Company’s common stock from 300,000,000 shares to 390,000,000 shares. The increase in authorized shares amendment was previously approved by our stockholders at the Annual Meeting of Stockholders held on May 23, 2025 and became effective upon its filing.</w:t>
      </w:r>
    </w:p>
    <w:p>
      <w:pPr>
        <w:spacing w:after="0" w:line="153"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On June 6, 2025, we also filed a Certificate of Amendment to Nektar’s Certificate of Incorporation (the Reverse Stock Split Amendment) to effect a reverse stock split of our common stock at a ratio of one-for-fifteen (the Reverse Stock Split). The Reverse Stock Split Amendment became effective as of 11:59 p.m. Eastern Time on June 8, 2025 (the Effective Time), at which time every fifteen shares of our common stock issued and outstanding immediately prior to the Effective Time were combined into one share of common stock. No fractional shares of our common stock were issued as a result of the Reverse Stock Split. Instead, any fractional shares resulting from the Reverse Stock Split were rounded up at the participant level if such shares of our common stock (including shares subject to issuance upon exercise of the pre-funded warrant) were held directly or rounded down to the nearest whole share of our common stock, if such shares were subject to an award granted under the 2017 Amended and Restated Performance Incentive Plan. Upon effectiveness of the Reverse Stock Split, the number of shares of common stock for which each outstanding option and pre-funded warrant to purchase common stock is exercisable was adjusted, and the exercise price of each outstanding option and pre-funded warrant to purchase common stock was adjusted. The Reverse Stock Split did not change the par value per share or the authorized number of shares of common stock and preferred stock. As a result of the Reverse Stock Split, we have retrospectively recast prior periods for shares of our common stock, including those issued, outstanding and treasury stock, weighted-average shares outstanding and loss per share.</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TCG Pre-Funded Warrant</w:t>
      </w:r>
    </w:p>
    <w:p>
      <w:pPr>
        <w:spacing w:after="0" w:line="189" w:lineRule="exact"/>
        <w:rPr>
          <w:sz w:val="20"/>
          <w:szCs w:val="20"/>
          <w:color w:val="auto"/>
        </w:rPr>
      </w:pPr>
    </w:p>
    <w:p>
      <w:pPr>
        <w:ind w:right="60" w:firstLine="644"/>
        <w:spacing w:after="0" w:line="255" w:lineRule="auto"/>
        <w:rPr>
          <w:sz w:val="20"/>
          <w:szCs w:val="20"/>
          <w:color w:val="auto"/>
        </w:rPr>
      </w:pPr>
      <w:r>
        <w:rPr>
          <w:rFonts w:ascii="Times New Roman" w:cs="Times New Roman" w:eastAsia="Times New Roman" w:hAnsi="Times New Roman"/>
          <w:sz w:val="18"/>
          <w:szCs w:val="18"/>
          <w:color w:val="auto"/>
        </w:rPr>
        <w:t>In March 2024, we issued a pre-funded warrant to purchase an aggregate of 1,666,667 shares of our common stock to TCG Crossover Fund II, L.P. (TCG) at a price of $18.00 per share for gross proceeds of $30.0 million. Transaction costs were immaterial. The TCG Pre-funded Warrant had an exercise price of $0.0015 per share and was exercisable at any time after the original issuance date. TCG could not exercise the warrant if TCG, together with its affiliates, would beneficially own more than 9.99% of the number of shares of our common stock outstanding immediately after giving effect to such exercise. TCG could increase or decrease this percentage not in excess of 19.99% by providing at least 61 days prior notice to the Company. On May 28, 2024, we filed with the SEC a registration statement on Form S-3 (file no. 333-279760) registering for resale of up to 1,666,667 shares of our common stock issuable upon exercise of the TCG Pre-funded Warrant. The registration statement became effective on June 5, 2024.</w:t>
      </w:r>
    </w:p>
    <w:p>
      <w:pPr>
        <w:spacing w:after="0" w:line="162"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classified the TCG Pre-funded Warrant as a component of permanent equity in our Consolidated Balance Sheets as it is a freestanding financial instrument that was immediately exercisable, does not embody an obligation for the Company to repurchase its own shares and permits the holder to receive a fixed number of shares of common stock upon exercise. All of the shares underlying the TCG Pre-funded Warrant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TCG Pre-funded Warrant.</w:t>
      </w:r>
    </w:p>
    <w:p>
      <w:pPr>
        <w:spacing w:after="0" w:line="143" w:lineRule="exact"/>
        <w:rPr>
          <w:sz w:val="20"/>
          <w:szCs w:val="20"/>
          <w:color w:val="auto"/>
        </w:rPr>
      </w:pPr>
    </w:p>
    <w:p>
      <w:pPr>
        <w:ind w:right="880" w:firstLine="644"/>
        <w:spacing w:after="0" w:line="282" w:lineRule="auto"/>
        <w:rPr>
          <w:sz w:val="20"/>
          <w:szCs w:val="20"/>
          <w:color w:val="auto"/>
        </w:rPr>
      </w:pPr>
      <w:r>
        <w:rPr>
          <w:rFonts w:ascii="Times New Roman" w:cs="Times New Roman" w:eastAsia="Times New Roman" w:hAnsi="Times New Roman"/>
          <w:sz w:val="18"/>
          <w:szCs w:val="18"/>
          <w:color w:val="auto"/>
        </w:rPr>
        <w:t>On July 1, and July 11, 2025, TCG exercised the TCG Pre-funded Warrant to purchase 780,000 and 886,667 shares of common stock, respectively. Exercise proceeds are immaterial. As a result of these exercises, no shares remain issuable under the warrant.</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Offerings</w:t>
      </w:r>
    </w:p>
    <w:p>
      <w:pPr>
        <w:spacing w:after="0" w:line="202" w:lineRule="exact"/>
        <w:rPr>
          <w:sz w:val="20"/>
          <w:szCs w:val="20"/>
          <w:color w:val="auto"/>
        </w:rPr>
      </w:pPr>
    </w:p>
    <w:p>
      <w:pPr>
        <w:jc w:val="both"/>
        <w:ind w:right="20" w:firstLine="644"/>
        <w:spacing w:after="0" w:line="261" w:lineRule="auto"/>
        <w:rPr>
          <w:sz w:val="20"/>
          <w:szCs w:val="20"/>
          <w:color w:val="auto"/>
        </w:rPr>
      </w:pPr>
      <w:r>
        <w:rPr>
          <w:rFonts w:ascii="Times New Roman" w:cs="Times New Roman" w:eastAsia="Times New Roman" w:hAnsi="Times New Roman"/>
          <w:sz w:val="18"/>
          <w:szCs w:val="18"/>
          <w:color w:val="auto"/>
        </w:rPr>
        <w:t>On July 2, 2025, pursuant to the April 2025 Shelf Registration Statement, we completed the sale and issuance of 4,893,618 shares of our common stock in an underwritten public offering (the 2025 Offering) at a price of $23.50 per share, which included 638,298 shares sold upon exercise in full by the underwriters of their option to purchase additional shares of common stock in the 2025 Offering. The net proceeds to the Company from the 2025 Offering totaled approximately $107.2 million, after deducting underwriting discounts and commissions and other offering costs.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2025 Offering, we re-issued all 552,307 shares held in treasury stock as of June 30, 2025.</w:t>
      </w:r>
    </w:p>
    <w:p>
      <w:pPr>
        <w:spacing w:after="0" w:line="185"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On February 13, 2026, pursuant to the November 2025 Shelf Registration Statement, we completed the sale and issuance of 7,637,931 shares of common stock at a price of $58.00 per share, which included 1,034,482 shares sold upon exercise in full by the underwriters of their option to purchase additional shares of common stock in the 2026 Offering, and 293,103 pre-funded warrants at price of $57.9999 per pre-funded warrant in an underwritten public offering. The estimated net proceeds from the 2026 Offering totaled approximately $432.0 million, after deducting underwriting discounts and</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and estimated offering expenses of approximately $28.0 million. Each pre-funded warrant has an exercise price of $0.0001 per share.</w:t>
      </w:r>
    </w:p>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Offerings</w:t>
      </w:r>
    </w:p>
    <w:p>
      <w:pPr>
        <w:spacing w:after="0" w:line="189" w:lineRule="exact"/>
        <w:rPr>
          <w:sz w:val="20"/>
          <w:szCs w:val="20"/>
          <w:color w:val="auto"/>
        </w:rPr>
      </w:pPr>
    </w:p>
    <w:p>
      <w:pPr>
        <w:ind w:right="140" w:firstLine="644"/>
        <w:spacing w:after="0" w:line="266" w:lineRule="auto"/>
        <w:rPr>
          <w:sz w:val="20"/>
          <w:szCs w:val="20"/>
          <w:color w:val="auto"/>
        </w:rPr>
      </w:pPr>
      <w:r>
        <w:rPr>
          <w:rFonts w:ascii="Times New Roman" w:cs="Times New Roman" w:eastAsia="Times New Roman" w:hAnsi="Times New Roman"/>
          <w:sz w:val="18"/>
          <w:szCs w:val="18"/>
          <w:color w:val="auto"/>
        </w:rPr>
        <w:t>In September and October 2025, we issued 1,273,923 shares of our common stock under the April 2025 ATM Sales Agreement at a weighted average price of $58.87 per share for net proceeds of $72.5 million after deducting related commissions and offering costs. No shares remain available for issuance under the April 2025 ATM Sales Agreement.</w:t>
      </w:r>
    </w:p>
    <w:p>
      <w:pPr>
        <w:spacing w:after="0" w:line="149"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On November 12, 2025, we also entered into the November 2025 ATM Sales Agreement with Piper Sandler &amp; Co. and BTIG, LLC, relating to the sale of our common stock having an aggregate offering price of up to $110.0 million in an “at-the-market” offering. As of December 31, 2025, no shares were issued under the November 2025 ATM Sales Agreement. From February 20, 2026 through March 11, 2026, we issued 639,131 shares of our common stock under the November 2025 ATM Sales Agreement at a weighted average price of $71.15 per share for net proceeds of $44.1 million after deducting related commissions of approximately $1.4 million.</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Shares Reserve for Issuance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of common stock reserved for future issuance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218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900" w:type="dxa"/>
            <w:vAlign w:val="bottom"/>
          </w:tcPr>
          <w:p>
            <w:pPr>
              <w:spacing w:after="0"/>
              <w:rPr>
                <w:sz w:val="17"/>
                <w:szCs w:val="17"/>
                <w:color w:val="auto"/>
              </w:rPr>
            </w:pPr>
          </w:p>
        </w:tc>
        <w:tc>
          <w:tcPr>
            <w:tcW w:w="14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and RSUs outstanding</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2,669,819</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2,305,451</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TCG Pre-funded Warrant</w:t>
            </w:r>
          </w:p>
        </w:tc>
        <w:tc>
          <w:tcPr>
            <w:tcW w:w="21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1,666,667</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future grant under the 2017 Performance Incentive Plan</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353,240</w:t>
            </w:r>
          </w:p>
        </w:tc>
        <w:tc>
          <w:tcPr>
            <w:tcW w:w="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551,727</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grant under the 2025 Inducement Plan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231,690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issuance under the employee stock purchase plan</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45,858</w:t>
            </w:r>
          </w:p>
        </w:tc>
        <w:tc>
          <w:tcPr>
            <w:tcW w:w="2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3,300,607</w:t>
            </w: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4,571,228</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License and Collaboration Agreements</w:t>
      </w:r>
    </w:p>
    <w:p>
      <w:pPr>
        <w:spacing w:after="0" w:line="202" w:lineRule="exact"/>
        <w:rPr>
          <w:sz w:val="20"/>
          <w:szCs w:val="20"/>
          <w:color w:val="auto"/>
        </w:rPr>
      </w:pPr>
    </w:p>
    <w:p>
      <w:pPr>
        <w:ind w:right="80" w:firstLine="644"/>
        <w:spacing w:after="0" w:line="255" w:lineRule="auto"/>
        <w:rPr>
          <w:sz w:val="20"/>
          <w:szCs w:val="20"/>
          <w:color w:val="auto"/>
        </w:rPr>
      </w:pPr>
      <w:r>
        <w:rPr>
          <w:rFonts w:ascii="Times New Roman" w:cs="Times New Roman" w:eastAsia="Times New Roman" w:hAnsi="Times New Roman"/>
          <w:sz w:val="18"/>
          <w:szCs w:val="18"/>
          <w:color w:val="auto"/>
        </w:rPr>
        <w:t xml:space="preserve">We have entered into various collaboration agreements including license agreements and collaborative research, development and commercialization agreements with various pharmaceutical and biotechnology companies. Under these collaboration arrangements, we are entitled to receive license fees, upfront payments, milestone and other contingent payments, royalties, sales milestone payments, reimbursements for research and development activities and (before the sale of the Facility) payments for the manufacture and supply of our PEG reagents. We generally include our costs of performing these services in research and development expense, except for costs for product sales to our collaboration partners which we include in cost of goods sold. We analyze our agreements to determine whether we should account for the agreements within the scope of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 and, if so, we analyze whether we should account for any elements under ASC 606</w:t>
      </w:r>
      <w:r>
        <w:rPr>
          <w:rFonts w:ascii="Times New Roman" w:cs="Times New Roman" w:eastAsia="Times New Roman" w:hAnsi="Times New Roman"/>
          <w:sz w:val="18"/>
          <w:szCs w:val="18"/>
          <w:i w:val="1"/>
          <w:iCs w:val="1"/>
          <w:color w:val="auto"/>
        </w:rPr>
        <w:t xml:space="preserve"> Revenue from Contracts with Customers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Biolojic Design, Ltd. (Biolojic): NKTR-0165</w:t>
      </w:r>
    </w:p>
    <w:p>
      <w:pPr>
        <w:spacing w:after="0" w:line="189" w:lineRule="exact"/>
        <w:rPr>
          <w:sz w:val="20"/>
          <w:szCs w:val="20"/>
          <w:color w:val="auto"/>
        </w:rPr>
      </w:pPr>
    </w:p>
    <w:p>
      <w:pPr>
        <w:ind w:right="40" w:firstLine="644"/>
        <w:spacing w:after="0" w:line="254" w:lineRule="auto"/>
        <w:rPr>
          <w:sz w:val="20"/>
          <w:szCs w:val="20"/>
          <w:color w:val="auto"/>
        </w:rPr>
      </w:pPr>
      <w:r>
        <w:rPr>
          <w:rFonts w:ascii="Times New Roman" w:cs="Times New Roman" w:eastAsia="Times New Roman" w:hAnsi="Times New Roman"/>
          <w:sz w:val="18"/>
          <w:szCs w:val="18"/>
          <w:color w:val="auto"/>
        </w:rPr>
        <w:t>In 2021, we entered into a research collaboration and license option agreement with Biolojic to discover and develop agonistic antibodies that activate a novel and previously un-drugged target for the treatment of autoimmune diseases. In 2023, we exercised an option to gain an exclusive license to specified agonistic antibodies and other materials that were developed pursuant to this arrangement in all fields of use (other than in the field of oncology). As a result of exercising the option to gain an exclusive license, we may be required to pay up to $18.0 million based on the achievement of certain development milestones, including the first milestone of $3.0 million payable upon the acceptance of the first investigational new drug application, and up to $35.0 million based on the achievement of certain regulatory approval milestones. Each milestone is payable only once, regardless of the number of indications for which we develop the licensed product. We record a liability when a milestone payment becomes probable. As of December 31, 2025, no milestones have been achieved or are considered probable, and no liability has been recorded.</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Bristol-Myers Squibb Company (BMS): </w:t>
      </w:r>
      <w:r>
        <w:rPr>
          <w:rFonts w:ascii="Times New Roman" w:cs="Times New Roman" w:eastAsia="Times New Roman" w:hAnsi="Times New Roman"/>
          <w:sz w:val="18"/>
          <w:szCs w:val="18"/>
          <w:i w:val="1"/>
          <w:iCs w:val="1"/>
          <w:color w:val="auto"/>
        </w:rPr>
        <w:t>Bempegaldesleukin, also referred to as NKTR-214</w:t>
      </w:r>
    </w:p>
    <w:p>
      <w:pPr>
        <w:spacing w:after="0" w:line="189" w:lineRule="exact"/>
        <w:rPr>
          <w:sz w:val="20"/>
          <w:szCs w:val="20"/>
          <w:color w:val="auto"/>
        </w:rPr>
      </w:pPr>
    </w:p>
    <w:p>
      <w:pPr>
        <w:ind w:right="180" w:firstLine="644"/>
        <w:spacing w:after="0" w:line="239" w:lineRule="auto"/>
        <w:rPr>
          <w:sz w:val="20"/>
          <w:szCs w:val="20"/>
          <w:color w:val="auto"/>
        </w:rPr>
      </w:pPr>
      <w:r>
        <w:rPr>
          <w:rFonts w:ascii="Times New Roman" w:cs="Times New Roman" w:eastAsia="Times New Roman" w:hAnsi="Times New Roman"/>
          <w:sz w:val="18"/>
          <w:szCs w:val="18"/>
          <w:color w:val="auto"/>
        </w:rPr>
        <w:t>Effective April 3, 2018, we entered into a Strategic Collaboration Agreement (the BMS Collaboration Agreement) and a Share Purchase Agreement with BMS. Pursuant to the BMS Collaboration Agreement, we and BMS jointly developed bempegaldesleukin in combination with BMS’ Opdivo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Upon the effective date of these agreements, BMS paid us a non-refundable upfront cash payment of $1.0 billion and purchased 552,307 shares of our common stock for total additional cash consideration of $850.0 million.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644"/>
        <w:spacing w:after="0" w:line="234" w:lineRule="auto"/>
        <w:rPr>
          <w:sz w:val="20"/>
          <w:szCs w:val="20"/>
          <w:color w:val="auto"/>
        </w:rPr>
      </w:pPr>
      <w:r>
        <w:rPr>
          <w:rFonts w:ascii="Times New Roman" w:cs="Times New Roman" w:eastAsia="Times New Roman" w:hAnsi="Times New Roman"/>
          <w:sz w:val="18"/>
          <w:szCs w:val="18"/>
          <w:color w:val="auto"/>
        </w:rPr>
        <w:t>In April 2022, we announced that BMS and we decided to discontinue all development of bempegaldesleukin in combination with Opdivo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On September 6, 2023, BMS and we terminated the BMS Collaboration Agreement. On February 12, 2024, we repurchased the 552,307 shares previously sold to BMS for total cash consideration of $3.0 million.</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89" w:lineRule="exact"/>
        <w:rPr>
          <w:sz w:val="20"/>
          <w:szCs w:val="20"/>
          <w:color w:val="auto"/>
        </w:rPr>
      </w:pPr>
    </w:p>
    <w:p>
      <w:pPr>
        <w:ind w:right="240" w:firstLine="644"/>
        <w:spacing w:after="0" w:line="266" w:lineRule="auto"/>
        <w:rPr>
          <w:sz w:val="20"/>
          <w:szCs w:val="20"/>
          <w:color w:val="auto"/>
        </w:rPr>
      </w:pPr>
      <w:r>
        <w:rPr>
          <w:rFonts w:ascii="Times New Roman" w:cs="Times New Roman" w:eastAsia="Times New Roman" w:hAnsi="Times New Roman"/>
          <w:sz w:val="18"/>
          <w:szCs w:val="18"/>
          <w:color w:val="auto"/>
        </w:rPr>
        <w:t>We have other collaboration agreements that have resulted in commercialized products for our collaborations partners. Under these agreements, we are entitled to receive royalties based on net sales of these products as well as sales milestones. As discussed in Note 6, we have sold our rights to receive royalties from these other collaboration agreements.</w:t>
      </w:r>
    </w:p>
    <w:p>
      <w:pPr>
        <w:spacing w:after="0" w:line="135" w:lineRule="exact"/>
        <w:rPr>
          <w:sz w:val="20"/>
          <w:szCs w:val="20"/>
          <w:color w:val="auto"/>
        </w:rPr>
      </w:pPr>
    </w:p>
    <w:p>
      <w:pPr>
        <w:ind w:right="120" w:firstLine="644"/>
        <w:spacing w:after="0" w:line="281" w:lineRule="auto"/>
        <w:rPr>
          <w:sz w:val="20"/>
          <w:szCs w:val="20"/>
          <w:color w:val="auto"/>
        </w:rPr>
      </w:pPr>
      <w:r>
        <w:rPr>
          <w:rFonts w:ascii="Times New Roman" w:cs="Times New Roman" w:eastAsia="Times New Roman" w:hAnsi="Times New Roman"/>
          <w:sz w:val="17"/>
          <w:szCs w:val="17"/>
          <w:color w:val="auto"/>
        </w:rPr>
        <w:t>We have a collaboration agreement with UCB for dapirolizumab pegol, under which we are entitled to a total of up to $40.0 million of regulatory approval milestones, as well as royalties in the low single digits based on net sales of commercialized products, if any. UCB is developing dapirolizumab pegol, a PEGylated antibody fragment, with Biogen, Inc. for the treatment of systemic lupus erythematosus. However, given the current phase of development of this product and the uncertainty in clinical development, we have excluded these milestones from the transaction price for this agreement.</w:t>
      </w:r>
    </w:p>
    <w:p>
      <w:pPr>
        <w:spacing w:after="0" w:line="137" w:lineRule="exact"/>
        <w:rPr>
          <w:sz w:val="20"/>
          <w:szCs w:val="20"/>
          <w:color w:val="auto"/>
        </w:rPr>
      </w:pPr>
    </w:p>
    <w:p>
      <w:pPr>
        <w:ind w:right="60" w:firstLine="644"/>
        <w:spacing w:after="0" w:line="245" w:lineRule="auto"/>
        <w:rPr>
          <w:sz w:val="20"/>
          <w:szCs w:val="20"/>
          <w:color w:val="auto"/>
        </w:rPr>
      </w:pPr>
      <w:r>
        <w:rPr>
          <w:rFonts w:ascii="Times New Roman" w:cs="Times New Roman" w:eastAsia="Times New Roman" w:hAnsi="Times New Roman"/>
          <w:sz w:val="18"/>
          <w:szCs w:val="18"/>
          <w:color w:val="auto"/>
        </w:rPr>
        <w:t>On July 31, 2024, and further formalized in an Amended and Restated Manufacturing and Supply Agreement dated October 18, 2024, we entered into a long-term “take or pay” supply agreement with UCB that increases the selling price of the PEG reagent used in the manufacture of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(the UCB Supply Agreement). The UCB Supply Agreement also covers UCB’s purchases of the same reagent (at the same price) for use in the manufacture of dapirolizumab pegol. We analyzed the terms of the agreement, including its cancellation provisions, and concluded that it represents a long-term agreement. Since the performance obligations are deliveries of a single reagent, we determined a single sales price for recognition of revenue over the term of the arrangement. Accordingly, because the billed price was less than the single sales price, we recorded a contract asset of $7.0 million as of December 2, 2024. Pursuant to the APA between Gannet BioChem and us, the UCB Supply Agreement was assigned to Gannet BioChem upon closing of the sale of the Facility.</w:t>
      </w:r>
    </w:p>
    <w:p>
      <w:pPr>
        <w:spacing w:after="0" w:line="156" w:lineRule="exact"/>
        <w:rPr>
          <w:sz w:val="20"/>
          <w:szCs w:val="20"/>
          <w:color w:val="auto"/>
        </w:rPr>
      </w:pPr>
    </w:p>
    <w:p>
      <w:pPr>
        <w:jc w:val="both"/>
        <w:ind w:right="180" w:firstLine="644"/>
        <w:spacing w:after="0" w:line="239" w:lineRule="auto"/>
        <w:rPr>
          <w:sz w:val="20"/>
          <w:szCs w:val="20"/>
          <w:color w:val="auto"/>
        </w:rPr>
      </w:pPr>
      <w:r>
        <w:rPr>
          <w:rFonts w:ascii="Times New Roman" w:cs="Times New Roman" w:eastAsia="Times New Roman" w:hAnsi="Times New Roman"/>
          <w:sz w:val="18"/>
          <w:szCs w:val="18"/>
          <w:color w:val="auto"/>
        </w:rPr>
        <w:t>We have not sold our rights to receive these milestones or royalties from dapirolizumab pegol under the APA for the sale of the Facility, and the assignment of the supply agreements to Gannet BioChem does not alter the potential milestones and potential royalties payable by UCB to us pursuant to the collaboration agreement for dapirolizumab pegol nor the non-cash royalties payable under our collaboration agreement for CIMZIA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See Note 4 for additional information on the APA.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Restructuring and Impairment</w:t>
      </w:r>
    </w:p>
    <w:p>
      <w:pPr>
        <w:spacing w:after="0" w:line="229" w:lineRule="exact"/>
        <w:rPr>
          <w:sz w:val="20"/>
          <w:szCs w:val="20"/>
          <w:color w:val="auto"/>
        </w:rPr>
      </w:pPr>
    </w:p>
    <w:p>
      <w:pPr>
        <w:jc w:val="both"/>
        <w:ind w:right="260" w:firstLine="644"/>
        <w:spacing w:after="0" w:line="266" w:lineRule="auto"/>
        <w:rPr>
          <w:sz w:val="20"/>
          <w:szCs w:val="20"/>
          <w:color w:val="auto"/>
        </w:rPr>
      </w:pPr>
      <w:r>
        <w:rPr>
          <w:rFonts w:ascii="Times New Roman" w:cs="Times New Roman" w:eastAsia="Times New Roman" w:hAnsi="Times New Roman"/>
          <w:sz w:val="18"/>
          <w:szCs w:val="18"/>
          <w:color w:val="auto"/>
        </w:rPr>
        <w:t>As discussed in Note 1, in April 2022 and April 2023, we announced the 2022 Restructuring Plan and the 2023 Restructuring Plan, pursuant to which we terminated significant portions of our workforce and decided to sublease all of our leased premises in San Francisco, California, including our office leased space in the Third Street Facility and our office and laboratory space in the Mission Bay Facility.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our 2022 and 2023 Restructuring Plans, restructuring and impairment includes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right-of-use assets and property, plant and equipment</w:t>
            </w:r>
          </w:p>
        </w:tc>
        <w:tc>
          <w:tcPr>
            <w:tcW w:w="224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460" w:type="dxa"/>
            <w:vAlign w:val="bottom"/>
            <w:gridSpan w:val="2"/>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2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20" w:type="dxa"/>
            <w:vAlign w:val="bottom"/>
          </w:tcPr>
          <w:p>
            <w:pPr>
              <w:spacing w:after="0"/>
              <w:rPr>
                <w:sz w:val="18"/>
                <w:szCs w:val="18"/>
                <w:color w:val="auto"/>
              </w:rPr>
            </w:pPr>
          </w:p>
        </w:tc>
      </w:tr>
      <w:tr>
        <w:trPr>
          <w:trHeight w:val="250"/>
        </w:trPr>
        <w:tc>
          <w:tcPr>
            <w:tcW w:w="6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Restructuring and impairment</w:t>
            </w:r>
          </w:p>
        </w:tc>
        <w:tc>
          <w:tcPr>
            <w:tcW w:w="1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ind w:right="120" w:firstLine="644"/>
        <w:spacing w:after="0" w:line="255" w:lineRule="auto"/>
        <w:rPr>
          <w:sz w:val="20"/>
          <w:szCs w:val="20"/>
          <w:color w:val="auto"/>
        </w:rPr>
      </w:pPr>
      <w:r>
        <w:rPr>
          <w:rFonts w:ascii="Times New Roman" w:cs="Times New Roman" w:eastAsia="Times New Roman" w:hAnsi="Times New Roman"/>
          <w:sz w:val="18"/>
          <w:szCs w:val="18"/>
          <w:color w:val="auto"/>
        </w:rPr>
        <w:t>As a result of our 2022 and 2023 Restructuring Plans, we decided to seek a sublease for all of our leased spaces in the Third St. Facility and the Mission Bay Facility. Accordingly, we evaluate each space for impairment at each reporting date, as facts and circumstances change. The significant assumptions in our impairment analysis relate to sublease income, including the length of time to enter into a sublease, sublease rental payments, free rent periods, tenant improvement allowances and broker commissions. When available, we use sublease negotiations or agreements, but in the absence of such information, we develop our own subjective estimates based on current real estate trends and market conditions. Accordingly, our estimates are subject to significant risk, and the terms of sublease agreements, if any, and the resulting amount and timing of sublease income, if ever realized, may be materially different than our estimates.</w:t>
      </w:r>
    </w:p>
    <w:p>
      <w:pPr>
        <w:spacing w:after="0" w:line="162"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As part of our evaluation of each sublease space, we separately compare the estimated undiscounted sublease income, if any, as described above, for each sublease to the net book value of the related long-term assets, which include right-of-use assets and certain property, plant and equipment, primarily for leasehold improvements (collectively, sublease assets). If such sublease income exceeds the net book value of the sublease assets, we do not record an impairment charge. Otherwise, we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record an impairment charge by reducing the net book value of the sublease assets to their estimated fair value, which we determined by discounting the estimated sublease income using the estimated borrowing rate of a market participant subtenant, which we estimated to be 6.2% for the three months ended June 30, 2024.</w:t>
      </w:r>
    </w:p>
    <w:p>
      <w:pPr>
        <w:spacing w:after="0" w:line="108"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as the life sciences and office lease markets continued to deteriorate, we recorded non-cash impairment charges totaling $8.3 million, consisting of $3.9 million for our office and laboratory leased space in the Mission Bay Facility and $4.4 million for our office lease space in the Third St. Facility.</w:t>
      </w:r>
    </w:p>
    <w:p>
      <w:pPr>
        <w:spacing w:after="0" w:line="135" w:lineRule="exact"/>
        <w:rPr>
          <w:sz w:val="20"/>
          <w:szCs w:val="20"/>
          <w:color w:val="auto"/>
        </w:rPr>
      </w:pPr>
    </w:p>
    <w:p>
      <w:pPr>
        <w:ind w:right="40" w:firstLine="644"/>
        <w:spacing w:after="0" w:line="282" w:lineRule="auto"/>
        <w:rPr>
          <w:sz w:val="20"/>
          <w:szCs w:val="20"/>
          <w:color w:val="auto"/>
        </w:rPr>
      </w:pPr>
      <w:r>
        <w:rPr>
          <w:rFonts w:ascii="Times New Roman" w:cs="Times New Roman" w:eastAsia="Times New Roman" w:hAnsi="Times New Roman"/>
          <w:sz w:val="18"/>
          <w:szCs w:val="18"/>
          <w:color w:val="auto"/>
        </w:rPr>
        <w:t>We recorded an additional $4.4 million non-cash impairment charges for our office and laboratory leased space in the Mission Bay Facility during the three month ended December 31, 2025 as the life sciences and office lease markets continued to demonstrate a sustained weakness.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these impairment charges, we developed our estimates of sublease income based on market participant assumptions as described above.</w:t>
      </w:r>
    </w:p>
    <w:p>
      <w:pPr>
        <w:spacing w:after="0" w:line="144" w:lineRule="exact"/>
        <w:rPr>
          <w:sz w:val="20"/>
          <w:szCs w:val="20"/>
          <w:color w:val="auto"/>
        </w:rPr>
      </w:pPr>
    </w:p>
    <w:p>
      <w:pPr>
        <w:ind w:right="200" w:firstLine="644"/>
        <w:spacing w:after="0" w:line="278" w:lineRule="auto"/>
        <w:rPr>
          <w:sz w:val="20"/>
          <w:szCs w:val="20"/>
          <w:color w:val="auto"/>
        </w:rPr>
      </w:pPr>
      <w:r>
        <w:rPr>
          <w:rFonts w:ascii="Times New Roman" w:cs="Times New Roman" w:eastAsia="Times New Roman" w:hAnsi="Times New Roman"/>
          <w:sz w:val="18"/>
          <w:szCs w:val="18"/>
          <w:color w:val="auto"/>
        </w:rPr>
        <w:t>The following is a reconciliation of the impairment charges we recorded for the full years ended December 31, 2025 and 2024, including the net book values of the sublease assets before the impairment and the fair values of the sublease assets (in thousands):</w:t>
      </w: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Year-Ended December 31, 2025</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Operating Lease</w:t>
            </w:r>
          </w:p>
        </w:tc>
        <w:tc>
          <w:tcPr>
            <w:tcW w:w="120" w:type="dxa"/>
            <w:vAlign w:val="bottom"/>
          </w:tcPr>
          <w:p>
            <w:pPr>
              <w:spacing w:after="0"/>
              <w:rPr>
                <w:sz w:val="10"/>
                <w:szCs w:val="10"/>
                <w:color w:val="auto"/>
              </w:rPr>
            </w:pPr>
          </w:p>
        </w:tc>
        <w:tc>
          <w:tcPr>
            <w:tcW w:w="146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Property, Plant and</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book value of impaired sublease assets</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of impaired facilities — Level 3 of Fair Value Hierarchy</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impairment of right-of-use assets and property, plant and equipment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Operating Lease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Property, Plant</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and Equipment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book value of impaired sublease assets</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Fair value of impaired sublease assets — Level 3 of Fair Value Hierarchy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(6,074)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impairment of right-of-use assets and property, plant and equipment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-942340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-925195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-942340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-925195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Termination Costs</w:t>
      </w:r>
    </w:p>
    <w:p>
      <w:pPr>
        <w:spacing w:after="0" w:line="189" w:lineRule="exact"/>
        <w:rPr>
          <w:sz w:val="20"/>
          <w:szCs w:val="20"/>
          <w:color w:val="auto"/>
        </w:rPr>
      </w:pPr>
    </w:p>
    <w:p>
      <w:pPr>
        <w:ind w:right="340" w:firstLine="644"/>
        <w:spacing w:after="0" w:line="282" w:lineRule="auto"/>
        <w:rPr>
          <w:sz w:val="20"/>
          <w:szCs w:val="20"/>
          <w:color w:val="auto"/>
        </w:rPr>
      </w:pPr>
      <w:r>
        <w:rPr>
          <w:rFonts w:ascii="Times New Roman" w:cs="Times New Roman" w:eastAsia="Times New Roman" w:hAnsi="Times New Roman"/>
          <w:sz w:val="18"/>
          <w:szCs w:val="18"/>
          <w:color w:val="auto"/>
        </w:rPr>
        <w:t>We have incurred significant contract termination costs in connection with our Restructuring Plans. Because we continue to adjust the liability based on updates to our assumptions at each reporting date, we continue to recognize expense as our estimates change until settlement.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reconciliations of the contract termination costs, for the years ended December 31, 2025 and 2024 (in thousands):</w:t>
      </w:r>
    </w:p>
    <w:tbl>
      <w:tblPr>
        <w:tblLayout w:type="fixed"/>
        <w:tblInd w:w="0" w:type="dxa"/>
        <w:tblCellMar>
          <w:top w:w="0" w:type="dxa"/>
          <w:left w:w="0" w:type="dxa"/>
          <w:bottom w:w="0" w:type="dxa"/>
          <w:right w:w="0" w:type="dxa"/>
        </w:tblCellMar>
      </w:tblPr>
      <w:tr>
        <w:trPr>
          <w:trHeight w:val="151"/>
        </w:trPr>
        <w:tc>
          <w:tcPr>
            <w:tcW w:w="62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right"/>
              <w:ind w:right="680"/>
              <w:spacing w:after="0" w:line="151"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2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balances as of December 31, 2023</w:t>
            </w:r>
          </w:p>
        </w:tc>
        <w:tc>
          <w:tcPr>
            <w:tcW w:w="3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recognized during the period</w:t>
            </w:r>
          </w:p>
        </w:tc>
        <w:tc>
          <w:tcPr>
            <w:tcW w:w="3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3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(3,805)</w:t>
            </w:r>
          </w:p>
        </w:tc>
      </w:tr>
      <w:tr>
        <w:trPr>
          <w:trHeight w:val="210"/>
        </w:trPr>
        <w:tc>
          <w:tcPr>
            <w:tcW w:w="6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Liability balances as of December 31, 2024</w:t>
            </w:r>
          </w:p>
        </w:tc>
        <w:tc>
          <w:tcPr>
            <w:tcW w:w="30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tcBorders>
              <w:top w:val="single" w:sz="8" w:color="CFF0FC"/>
            </w:tcBorders>
          </w:tcPr>
          <w:p>
            <w:pPr>
              <w:spacing w:after="0"/>
              <w:rPr>
                <w:sz w:val="18"/>
                <w:szCs w:val="18"/>
                <w:color w:val="auto"/>
              </w:rPr>
            </w:pPr>
          </w:p>
        </w:tc>
      </w:tr>
      <w:tr>
        <w:trPr>
          <w:trHeight w:val="216"/>
        </w:trPr>
        <w:tc>
          <w:tcPr>
            <w:tcW w:w="6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Expense recognized during the period</w:t>
            </w:r>
          </w:p>
        </w:tc>
        <w:tc>
          <w:tcPr>
            <w:tcW w:w="3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during the period</w:t>
            </w:r>
          </w:p>
        </w:tc>
        <w:tc>
          <w:tcPr>
            <w:tcW w:w="3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(3,286)</w:t>
            </w:r>
          </w:p>
        </w:tc>
      </w:tr>
      <w:tr>
        <w:trPr>
          <w:trHeight w:val="20"/>
        </w:trPr>
        <w:tc>
          <w:tcPr>
            <w:tcW w:w="6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balances as of December 31, 2025</w:t>
            </w:r>
          </w:p>
        </w:tc>
        <w:tc>
          <w:tcPr>
            <w:tcW w:w="3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shd w:val="clear" w:color="auto" w:fill="CFF0FC"/>
          </w:tcPr>
          <w:p>
            <w:pPr>
              <w:spacing w:after="0"/>
              <w:rPr>
                <w:sz w:val="19"/>
                <w:szCs w:val="19"/>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30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380" w:firstLine="644"/>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reported $2.6 million and $2.8 million, respectively, within accrued expenses and remaining amounts within other long-term liabilities on our Consolidated Balance Sheets.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Gain on Sale of the Huntsville Manufacturing Facility</w:t>
      </w:r>
    </w:p>
    <w:p>
      <w:pPr>
        <w:spacing w:after="0" w:line="189"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As discussed in Note 1, on December 2, 2024, we sold the Facility to Gannet BioChem. We recorded a gain on the sale based on the net cash proceeds received and our estimated fair value of our investment in Gannet BioChem, as compared to the carrying value of the Facility at closing. The gain was computed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proceeds at closing</w:t>
            </w: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71,167</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Net working capital adjustment</w:t>
            </w:r>
          </w:p>
        </w:tc>
        <w:tc>
          <w:tcPr>
            <w:tcW w:w="7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equity method investment in Gannet BioChem - Level 3 of Fair Value Hierarchy</w:t>
            </w:r>
          </w:p>
        </w:tc>
        <w:tc>
          <w:tcPr>
            <w:tcW w:w="7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cash and non-cash proceeds</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83,063</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(6,155)</w:t>
            </w:r>
          </w:p>
        </w:tc>
      </w:tr>
      <w:tr>
        <w:trPr>
          <w:trHeight w:val="209"/>
        </w:trPr>
        <w:tc>
          <w:tcPr>
            <w:tcW w:w="926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Net proceeds</w:t>
            </w:r>
          </w:p>
        </w:tc>
        <w:tc>
          <w:tcPr>
            <w:tcW w:w="7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76,908</w:t>
            </w:r>
          </w:p>
        </w:tc>
        <w:tc>
          <w:tcPr>
            <w:tcW w:w="100" w:type="dxa"/>
            <w:vAlign w:val="bottom"/>
            <w:tcBorders>
              <w:top w:val="single" w:sz="8" w:color="CFF0FC"/>
            </w:tcBorders>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(1,354)</w:t>
            </w:r>
          </w:p>
        </w:tc>
      </w:tr>
      <w:tr>
        <w:trPr>
          <w:trHeight w:val="209"/>
        </w:trPr>
        <w:tc>
          <w:tcPr>
            <w:tcW w:w="92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working capital</w:t>
            </w:r>
          </w:p>
        </w:tc>
        <w:tc>
          <w:tcPr>
            <w:tcW w:w="7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18,415</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tcPr>
          <w:p>
            <w:pPr>
              <w:spacing w:after="0"/>
              <w:rPr>
                <w:sz w:val="18"/>
                <w:szCs w:val="18"/>
                <w:color w:val="auto"/>
              </w:rPr>
            </w:pPr>
          </w:p>
        </w:tc>
      </w:tr>
      <w:tr>
        <w:trPr>
          <w:trHeight w:val="216"/>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 net</w:t>
            </w:r>
          </w:p>
        </w:tc>
        <w:tc>
          <w:tcPr>
            <w:tcW w:w="7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assets sold</w:t>
            </w:r>
          </w:p>
        </w:tc>
        <w:tc>
          <w:tcPr>
            <w:tcW w:w="7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36,518</w:t>
            </w:r>
          </w:p>
        </w:tc>
        <w:tc>
          <w:tcPr>
            <w:tcW w:w="100" w:type="dxa"/>
            <w:vAlign w:val="bottom"/>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9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proceeds</w:t>
            </w: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76,908</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Net assets sold</w:t>
            </w:r>
          </w:p>
        </w:tc>
        <w:tc>
          <w:tcPr>
            <w:tcW w:w="7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(36,518)</w:t>
            </w:r>
          </w:p>
        </w:tc>
      </w:tr>
      <w:tr>
        <w:trPr>
          <w:trHeight w:val="249"/>
        </w:trPr>
        <w:tc>
          <w:tcPr>
            <w:tcW w:w="92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 on asset sale</w:t>
            </w:r>
          </w:p>
        </w:tc>
        <w:tc>
          <w:tcPr>
            <w:tcW w:w="700" w:type="dxa"/>
            <w:vAlign w:val="bottom"/>
            <w:tcBorders>
              <w:top w:val="single" w:sz="8" w:color="auto"/>
              <w:bottom w:val="single" w:sz="8" w:color="auto"/>
            </w:tcBorders>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40,390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firstLine="644"/>
        <w:spacing w:after="0" w:line="256" w:lineRule="auto"/>
        <w:rPr>
          <w:sz w:val="20"/>
          <w:szCs w:val="20"/>
          <w:color w:val="auto"/>
        </w:rPr>
      </w:pPr>
      <w:r>
        <w:rPr>
          <w:rFonts w:ascii="Times New Roman" w:cs="Times New Roman" w:eastAsia="Times New Roman" w:hAnsi="Times New Roman"/>
          <w:sz w:val="18"/>
          <w:szCs w:val="18"/>
          <w:color w:val="auto"/>
        </w:rPr>
        <w:t>We estimated the fair value of the equity method investment using an option pricing method (OPM) based on the consideration paid for the preferred units. The OPM allows for the allocation of a company’s equity value among the various equity capital owners (preferred and common unitholders) and estimates the implied equity value of Gannet BioChem. The OPM uses the unitholders’ liquidation preferences to determine how proceeds from a liquidity event shall be distributed among the various ownership classes with an expected term to a liquidity event commensurate with a private equity investment. The following table lists the other Black-Scholes option-pricing model assumptions used to calculate the fair value of the equity method investment.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 factor</w:t>
            </w:r>
          </w:p>
        </w:tc>
        <w:tc>
          <w:tcPr>
            <w:tcW w:w="5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2017 Performance Incentive Plan</w:t>
      </w:r>
    </w:p>
    <w:p>
      <w:pPr>
        <w:spacing w:after="0" w:line="189" w:lineRule="exact"/>
        <w:rPr>
          <w:sz w:val="20"/>
          <w:szCs w:val="20"/>
          <w:color w:val="auto"/>
        </w:rPr>
      </w:pPr>
    </w:p>
    <w:p>
      <w:pPr>
        <w:ind w:right="20" w:firstLine="644"/>
        <w:spacing w:after="0" w:line="256" w:lineRule="auto"/>
        <w:rPr>
          <w:sz w:val="20"/>
          <w:szCs w:val="20"/>
          <w:color w:val="auto"/>
        </w:rPr>
      </w:pPr>
      <w:r>
        <w:rPr>
          <w:rFonts w:ascii="Times New Roman" w:cs="Times New Roman" w:eastAsia="Times New Roman" w:hAnsi="Times New Roman"/>
          <w:sz w:val="18"/>
          <w:szCs w:val="18"/>
          <w:color w:val="auto"/>
        </w:rPr>
        <w:t>Our 2017 Performance Incentive Plan, as amended and restated, (2017 Plan) provides for the issuance of our common stock to members of the Board of Directors, officers or employees, certain consultants and advisors and our subsidiaries. On May 23, 2025, our shareholders approved an amendment to the Amended and Restated 2017 Performance Incentive Plan to increase the aggregate number of shares of common stock authorized for issuance thereunder by 6,000,000 shares, which were subsequently adjusted to 400,000 shares due to the effect of the Reverse Stock Split. Under the 2017 Plan, we may issue stock options, restricted stock, performance stock, stock units, stock appreciation rights and other similar types of awards. Shares issued for RSUs, PSUs or any other “full-value award” are counted against the share limit as 1.5 shares for every one share granted in connection with the award.</w:t>
      </w:r>
    </w:p>
    <w:p>
      <w:pPr>
        <w:spacing w:after="0" w:line="147" w:lineRule="exact"/>
        <w:rPr>
          <w:sz w:val="20"/>
          <w:szCs w:val="20"/>
          <w:color w:val="auto"/>
        </w:rPr>
      </w:pPr>
    </w:p>
    <w:p>
      <w:pPr>
        <w:ind w:right="120" w:firstLine="644"/>
        <w:spacing w:after="0" w:line="261" w:lineRule="auto"/>
        <w:rPr>
          <w:sz w:val="20"/>
          <w:szCs w:val="20"/>
          <w:color w:val="auto"/>
        </w:rPr>
      </w:pPr>
      <w:r>
        <w:rPr>
          <w:rFonts w:ascii="Times New Roman" w:cs="Times New Roman" w:eastAsia="Times New Roman" w:hAnsi="Times New Roman"/>
          <w:sz w:val="18"/>
          <w:szCs w:val="18"/>
          <w:color w:val="auto"/>
        </w:rPr>
        <w:t>We have granted non-qualified stock options and RSUs to employees, officers, and non-employee directors. For our employees, the requisite service period is generally three to four years. For our directors, the requisite service is generally one year. The maximum term of a stock option is eight years from the date of grant. The per share exercise price of an option generally may not be less than the fair market value of a share of our common stock on the NASDAQ Stock Market on the date of grant.</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20" w:firstLine="644"/>
        <w:spacing w:after="0" w:line="256" w:lineRule="auto"/>
        <w:rPr>
          <w:sz w:val="20"/>
          <w:szCs w:val="20"/>
          <w:color w:val="auto"/>
        </w:rPr>
      </w:pPr>
      <w:r>
        <w:rPr>
          <w:rFonts w:ascii="Times New Roman" w:cs="Times New Roman" w:eastAsia="Times New Roman" w:hAnsi="Times New Roman"/>
          <w:sz w:val="18"/>
          <w:szCs w:val="18"/>
          <w:color w:val="auto"/>
        </w:rPr>
        <w:t>Under our Change in Control Plan (the CIC Plan), in the event of a change of control of Nektar and a subsequent termination of employment initiated by us or a successor company other than for Cause (as defined in the CIC Plan) within twelve months following a change of control, our employees are entitled to full acceleration of their unvested equity awards. Our Chief Executive Officer, Senior Vice Presidents and Vice Presidents (including Principal Fellows) are also entitled to full acceleration of unvested equity awards if the termination is initiated by the employee for a Good Reason Resignation (as defined in the CIC Plan) within twelve months following a change of control. Additionally, non-employee directors would also be entitled to full acceleration of vesting of all outstanding stock awards in the event of a change of control transaction.</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Inducement Plan</w:t>
      </w:r>
    </w:p>
    <w:p>
      <w:pPr>
        <w:spacing w:after="0" w:line="189"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On November 6, 2025, the Board of Directors approved and adopted the 2025 Inducement Plan, to reserve 250,000 shares of common stock to be used exclusively for the grants of equity awards to individuals who were not previously an employee or non-employee director of Nektar (or following a bona fide period of non-employment), as an inducement material to such individual's entering into employment with Nektar, pursuant to Nasdaq Listing Rule 5635(c)(4). The 2025 Inducement Plan was adopted without stockholder approval pursuant to Nasdaq Listing Rule 5635(c)(4) and will be administered by the Organization and Compensation Committee of the Board of Directors.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02" w:lineRule="exact"/>
        <w:rPr>
          <w:sz w:val="20"/>
          <w:szCs w:val="20"/>
          <w:color w:val="auto"/>
        </w:rPr>
      </w:pPr>
    </w:p>
    <w:p>
      <w:pPr>
        <w:jc w:val="both"/>
        <w:ind w:right="280" w:firstLine="644"/>
        <w:spacing w:after="0" w:line="266" w:lineRule="auto"/>
        <w:rPr>
          <w:sz w:val="20"/>
          <w:szCs w:val="20"/>
          <w:color w:val="auto"/>
        </w:rPr>
      </w:pPr>
      <w:r>
        <w:rPr>
          <w:rFonts w:ascii="Times New Roman" w:cs="Times New Roman" w:eastAsia="Times New Roman" w:hAnsi="Times New Roman"/>
          <w:sz w:val="18"/>
          <w:szCs w:val="18"/>
          <w:color w:val="auto"/>
        </w:rPr>
        <w:t>Under the terms of our Employee Stock Purchase Plan (ESPP), employees may purchase shares of our common stock based on a percentage of their compensation subject to certain limits. Shares are purchased at 85% of the lower of the closing price on either the first day or last day of each six-month offering period.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 total stock-based compensation expense in our Consolidated Statements of Operations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5,444</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7,205</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12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21,612</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resulting from our ESPP was not significant in the years ended December 31, 2025 and 2024.</w:t>
      </w:r>
    </w:p>
    <w:p>
      <w:pPr>
        <w:spacing w:after="0" w:line="185" w:lineRule="exact"/>
        <w:rPr>
          <w:sz w:val="20"/>
          <w:szCs w:val="20"/>
          <w:color w:val="auto"/>
        </w:rPr>
      </w:pPr>
    </w:p>
    <w:p>
      <w:pPr>
        <w:ind w:right="500" w:firstLine="644"/>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costs of $32.2 million related to unvested stock-based compensation awards are expected to be recognized as expense over a weighted-average period of 2.8 years.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Black-Scholes Assumptions</w:t>
      </w:r>
    </w:p>
    <w:p>
      <w:pPr>
        <w:spacing w:after="0" w:line="202" w:lineRule="exact"/>
        <w:rPr>
          <w:sz w:val="20"/>
          <w:szCs w:val="20"/>
          <w:color w:val="auto"/>
        </w:rPr>
      </w:pPr>
    </w:p>
    <w:p>
      <w:pPr>
        <w:ind w:right="460" w:firstLine="644"/>
        <w:spacing w:after="0" w:line="282" w:lineRule="auto"/>
        <w:rPr>
          <w:sz w:val="20"/>
          <w:szCs w:val="20"/>
          <w:color w:val="auto"/>
        </w:rPr>
      </w:pPr>
      <w:r>
        <w:rPr>
          <w:rFonts w:ascii="Times New Roman" w:cs="Times New Roman" w:eastAsia="Times New Roman" w:hAnsi="Times New Roman"/>
          <w:sz w:val="18"/>
          <w:szCs w:val="18"/>
          <w:color w:val="auto"/>
        </w:rPr>
        <w:t>The following table lists the Black-Scholes option-pricing model assumptions used to calculate the fair value of employee and director stock options, as well as the resulting grant-date fair value: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6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6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6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volatility factor</w:t>
            </w:r>
          </w:p>
        </w:tc>
        <w:tc>
          <w:tcPr>
            <w:tcW w:w="3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104.9%</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life</w:t>
            </w:r>
          </w:p>
        </w:tc>
        <w:tc>
          <w:tcPr>
            <w:tcW w:w="36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5.2 years</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 years</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grant-date fair value of options granted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100" w:firstLine="644"/>
        <w:spacing w:after="0" w:line="258" w:lineRule="auto"/>
        <w:rPr>
          <w:sz w:val="20"/>
          <w:szCs w:val="20"/>
          <w:color w:val="auto"/>
        </w:rPr>
      </w:pPr>
      <w:r>
        <w:rPr>
          <w:rFonts w:ascii="Times New Roman" w:cs="Times New Roman" w:eastAsia="Times New Roman" w:hAnsi="Times New Roman"/>
          <w:sz w:val="18"/>
          <w:szCs w:val="18"/>
          <w:color w:val="auto"/>
        </w:rPr>
        <w:t>The average risk-free interest rate is based on the U.S. treasury yield curve in effect at the time of grant for periods commensurate with the expected life of the stock-based award. We have never paid dividends, nor do we expect to pay dividends in the foreseeable future; therefore, we used a dividend yield of zero. Our estimate of expected volatility is based on the daily historical trading data of our common stock at the time of grant over a historical period commensurate with the expected life of the stock-based award. We estimated the weighted-average expected life based on the contractual and vesting terms of the stock options, as well as historical cancellation and exercise data.</w:t>
      </w:r>
    </w:p>
    <w:p>
      <w:pPr>
        <w:sectPr>
          <w:pgSz w:w="11900" w:h="16838" w:orient="portrait"/>
          <w:cols w:equalWidth="0" w:num="1">
            <w:col w:w="11240"/>
          </w:cols>
          <w:pgMar w:left="320" w:top="117"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Option Activity</w:t>
      </w:r>
    </w:p>
    <w:p>
      <w:pPr>
        <w:spacing w:after="0" w:line="202" w:lineRule="exact"/>
        <w:rPr>
          <w:sz w:val="20"/>
          <w:szCs w:val="20"/>
          <w:color w:val="auto"/>
        </w:rPr>
      </w:pPr>
    </w:p>
    <w:p>
      <w:pPr>
        <w:ind w:right="540" w:firstLine="644"/>
        <w:spacing w:after="0" w:line="282" w:lineRule="auto"/>
        <w:rPr>
          <w:sz w:val="20"/>
          <w:szCs w:val="20"/>
          <w:color w:val="auto"/>
        </w:rPr>
      </w:pPr>
      <w:r>
        <w:rPr>
          <w:rFonts w:ascii="Times New Roman" w:cs="Times New Roman" w:eastAsia="Times New Roman" w:hAnsi="Times New Roman"/>
          <w:sz w:val="18"/>
          <w:szCs w:val="18"/>
          <w:color w:val="auto"/>
        </w:rPr>
        <w:t>The table below presents a summary of stock option activity under our equity incentive plans (in thousands, except for share, per share, and contractual life information):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9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 w:type="dxa"/>
            <w:vAlign w:val="bottom"/>
          </w:tcPr>
          <w:p>
            <w:pPr>
              <w:spacing w:after="0"/>
              <w:rPr>
                <w:sz w:val="12"/>
                <w:szCs w:val="12"/>
                <w:color w:val="auto"/>
              </w:rPr>
            </w:pPr>
          </w:p>
        </w:tc>
        <w:tc>
          <w:tcPr>
            <w:tcW w:w="9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9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Value(1)</w:t>
            </w: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2,203,927</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83.73</w:t>
            </w:r>
          </w:p>
        </w:tc>
        <w:tc>
          <w:tcPr>
            <w:tcW w:w="20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529,888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(76,013)</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forfeited &amp; canceled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(196,083)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309.89</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2,461,719</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1,164,061</w:t>
            </w:r>
          </w:p>
        </w:tc>
        <w:tc>
          <w:tcPr>
            <w:tcW w:w="2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-299720</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-281940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ind w:left="480" w:right="320" w:hanging="472"/>
        <w:spacing w:after="0" w:line="282" w:lineRule="auto"/>
        <w:tabs>
          <w:tab w:leader="none" w:pos="4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Aggregate intrinsic value represents the difference between the exercise price of the option and the closing market price of our common stock on December 31, 2025.</w:t>
      </w:r>
    </w:p>
    <w:p>
      <w:pPr>
        <w:spacing w:after="0" w:line="121" w:lineRule="exact"/>
        <w:rPr>
          <w:sz w:val="20"/>
          <w:szCs w:val="20"/>
          <w:color w:val="auto"/>
        </w:rPr>
      </w:pPr>
    </w:p>
    <w:p>
      <w:pPr>
        <w:ind w:right="500" w:firstLine="644"/>
        <w:spacing w:after="0" w:line="282" w:lineRule="auto"/>
        <w:rPr>
          <w:sz w:val="20"/>
          <w:szCs w:val="20"/>
          <w:color w:val="auto"/>
        </w:rPr>
      </w:pPr>
      <w:r>
        <w:rPr>
          <w:rFonts w:ascii="Times New Roman" w:cs="Times New Roman" w:eastAsia="Times New Roman" w:hAnsi="Times New Roman"/>
          <w:sz w:val="18"/>
          <w:szCs w:val="18"/>
          <w:color w:val="auto"/>
        </w:rPr>
        <w:t>The intrinsic value of options exercised during the year ended December 31, 2025 was $2.2 million. The intrinsic value of options exercised during the year ended 2024 was not significant.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RSU Activity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RSU award activity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62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Units Issued</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101,524</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105.31</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195,943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43.87</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 and released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(82,085)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87.03</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and canceled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99.68</w:t>
            </w: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208,100</w:t>
            </w:r>
          </w:p>
        </w:tc>
        <w:tc>
          <w:tcPr>
            <w:tcW w:w="1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500" w:firstLine="644"/>
        <w:spacing w:after="0" w:line="312" w:lineRule="auto"/>
        <w:rPr>
          <w:sz w:val="20"/>
          <w:szCs w:val="20"/>
          <w:color w:val="auto"/>
        </w:rPr>
      </w:pPr>
      <w:r>
        <w:rPr>
          <w:rFonts w:ascii="Times New Roman" w:cs="Times New Roman" w:eastAsia="Times New Roman" w:hAnsi="Times New Roman"/>
          <w:sz w:val="17"/>
          <w:szCs w:val="17"/>
          <w:color w:val="auto"/>
        </w:rPr>
        <w:t>The weighted-average grant-date fair values of RSUs granted during the years ended December 31, 2025 and 2024 were $43.87 and $16.35, respectively. The fair value of RSUs that vested in the years ended December 31, 2025 and 2024 totaled $2.1 million and $2.8 million, respectively.</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401(k) Retirement Plan</w:t>
      </w:r>
    </w:p>
    <w:p>
      <w:pPr>
        <w:spacing w:after="0" w:line="202" w:lineRule="exact"/>
        <w:rPr>
          <w:sz w:val="20"/>
          <w:szCs w:val="20"/>
          <w:color w:val="auto"/>
        </w:rPr>
      </w:pPr>
    </w:p>
    <w:p>
      <w:pPr>
        <w:ind w:right="40" w:firstLine="644"/>
        <w:spacing w:after="0" w:line="261" w:lineRule="auto"/>
        <w:rPr>
          <w:sz w:val="20"/>
          <w:szCs w:val="20"/>
          <w:color w:val="auto"/>
        </w:rPr>
      </w:pPr>
      <w:r>
        <w:rPr>
          <w:rFonts w:ascii="Times New Roman" w:cs="Times New Roman" w:eastAsia="Times New Roman" w:hAnsi="Times New Roman"/>
          <w:sz w:val="18"/>
          <w:szCs w:val="18"/>
          <w:color w:val="auto"/>
        </w:rPr>
        <w:t>We sponsor a 401(k) retirement plan whereby eligible employees may elect to contribute up to the lesser of 60% of their annual compensation or the statutorily prescribed annual limit allowable under Internal Revenue Service regulations. The 401(k) plan permits us to make matching contributions on behalf of all participants, up to a maximum of $12,000 per participant for the years ended December 31, 2025 and 2024. For the years ended December 31, 2025 and 2024, we recognized $0.7 million, and $1.4 million, respectively, of compensation expense in connection with our 401(k) retirement plan.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 before benefit for income taxes includes the following components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28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(164,576)</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(119,227)</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r>
      <w:tr>
        <w:trPr>
          <w:trHeight w:val="229"/>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before benefit for income taxes</w:t>
            </w:r>
          </w:p>
        </w:tc>
        <w:tc>
          <w:tcPr>
            <w:tcW w:w="24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(164,214)</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(119,200)</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Benefit for Income Taxes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benefit for income taxes consists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900" w:type="dxa"/>
            <w:vAlign w:val="bottom"/>
            <w:tcBorders>
              <w:bottom w:val="single" w:sz="8" w:color="auto"/>
            </w:tcBorders>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60" w:type="dxa"/>
            <w:vAlign w:val="bottom"/>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6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80" w:type="dxa"/>
            <w:vAlign w:val="bottom"/>
            <w:gridSpan w:val="2"/>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income tax benefit</w:t>
            </w:r>
          </w:p>
        </w:tc>
        <w:tc>
          <w:tcPr>
            <w:tcW w:w="2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r>
      <w:tr>
        <w:trPr>
          <w:trHeight w:val="210"/>
        </w:trPr>
        <w:tc>
          <w:tcPr>
            <w:tcW w:w="5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2620" w:type="dxa"/>
            <w:vAlign w:val="bottom"/>
            <w:tcBorders>
              <w:top w:val="single" w:sz="8" w:color="CFF0F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120" w:type="dxa"/>
            <w:vAlign w:val="bottom"/>
            <w:shd w:val="clear" w:color="auto" w:fill="CFF0FC"/>
          </w:tcPr>
          <w:p>
            <w:pPr>
              <w:spacing w:after="0" w:line="20" w:lineRule="exact"/>
              <w:rPr>
                <w:sz w:val="1"/>
                <w:szCs w:val="1"/>
                <w:color w:val="auto"/>
              </w:rPr>
            </w:pPr>
          </w:p>
        </w:tc>
        <w:tc>
          <w:tcPr>
            <w:tcW w:w="26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2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6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1180" w:type="dxa"/>
            <w:vAlign w:val="bottom"/>
            <w:gridSpan w:val="2"/>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5120" w:type="dxa"/>
            <w:vAlign w:val="bottom"/>
            <w:tcBorders>
              <w:top w:val="single" w:sz="8" w:color="CFF0FC"/>
            </w:tcBorders>
            <w:shd w:val="clear" w:color="auto" w:fill="CFF0FC"/>
          </w:tcPr>
          <w:p>
            <w:pPr>
              <w:spacing w:after="0" w:line="20" w:lineRule="exact"/>
              <w:rPr>
                <w:sz w:val="1"/>
                <w:szCs w:val="1"/>
                <w:color w:val="auto"/>
              </w:rPr>
            </w:pPr>
          </w:p>
        </w:tc>
        <w:tc>
          <w:tcPr>
            <w:tcW w:w="26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-873760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60" w:firstLine="644"/>
        <w:spacing w:after="0" w:line="266" w:lineRule="auto"/>
        <w:rPr>
          <w:sz w:val="20"/>
          <w:szCs w:val="20"/>
          <w:color w:val="auto"/>
        </w:rPr>
      </w:pPr>
      <w:r>
        <w:rPr>
          <w:rFonts w:ascii="Times New Roman" w:cs="Times New Roman" w:eastAsia="Times New Roman" w:hAnsi="Times New Roman"/>
          <w:sz w:val="18"/>
          <w:szCs w:val="18"/>
          <w:color w:val="auto"/>
        </w:rPr>
        <w:t>As discussed in Note 1, we adopted ASU 2023-09 on a prospective basis beginning with the year ended December 31, 2025. The following table presents the reconciliation of our U.S. federal statutory tax amount and rate to our effective amount and rate for the year ended December 31, 2025 (dollars in thousands):</w:t>
      </w:r>
    </w:p>
    <w:p>
      <w:pPr>
        <w:spacing w:after="0" w:line="169"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6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142"/>
        </w:trPr>
        <w:tc>
          <w:tcPr>
            <w:tcW w:w="73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top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2"/>
                <w:szCs w:val="12"/>
                <w:color w:val="auto"/>
              </w:rPr>
            </w:pPr>
          </w:p>
        </w:tc>
      </w:tr>
      <w:tr>
        <w:trPr>
          <w:trHeight w:val="210"/>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(34,485)</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State &amp; local income taxes, net of federal income tax effect</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(295)</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Effects of changes in tax laws or rates enacted in the current period</w:t>
            </w:r>
          </w:p>
        </w:tc>
        <w:tc>
          <w:tcPr>
            <w:tcW w:w="28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Research credits</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(781)</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 related to the sales of future royalties, net</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(4,085)</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(431)</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7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Expiration of net operating loss carryforwards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24,806</w:t>
            </w:r>
          </w:p>
        </w:tc>
        <w:tc>
          <w:tcPr>
            <w:tcW w:w="240" w:type="dxa"/>
            <w:vAlign w:val="bottom"/>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7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7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r>
        <w:trPr>
          <w:trHeight w:val="20"/>
        </w:trPr>
        <w:tc>
          <w:tcPr>
            <w:tcW w:w="7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-170815</wp:posOffset>
            </wp:positionV>
            <wp:extent cx="1460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8"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The Company’s effective tax rate differs from the U.S. federal statutory rate primarily due to tax credits, changes in valuation allowances, and nondeductible expenses. The rate was reduced by federal and state research and development credits generated during the year and by adjustments to prior-year credit carryforwards. Our tax payments were immaterial.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00" w:firstLine="64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required disclosures before our adoption of ASU 2023-09 and reconciles the U.S. federal statutory income tax rate to the actual global effective income tax rate for the year ended December 31, 2024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7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at federal statutory rate</w:t>
            </w:r>
          </w:p>
        </w:tc>
        <w:tc>
          <w:tcPr>
            <w:tcW w:w="2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(25,032)</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Research credits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18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8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Expiration of net operating loss carryforwards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18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8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 on liabilities related to sales of future royalties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8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royalty revenue related to sales of future royalties</w:t>
            </w:r>
          </w:p>
        </w:tc>
        <w:tc>
          <w:tcPr>
            <w:tcW w:w="1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(5,645)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7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7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29"/>
        </w:trPr>
        <w:tc>
          <w:tcPr>
            <w:tcW w:w="7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1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722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7025640</wp:posOffset>
            </wp:positionH>
            <wp:positionV relativeFrom="paragraph">
              <wp:posOffset>-479425</wp:posOffset>
            </wp:positionV>
            <wp:extent cx="1117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189"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Deferred income taxes reflect the net tax effects of loss and credit carryforwards and temporary differences between the carrying amount of assets and liabilities for financial reporting purposes and the amounts used for income tax purposes. We measure deferred tax assets and liabilities based on the rates at which they are expected to reverse in the future. Significant components of our deferred tax assets for federal and state income taxes are as follows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7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625,497</w:t>
            </w:r>
          </w:p>
        </w:tc>
        <w:tc>
          <w:tcPr>
            <w:tcW w:w="18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587,528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other credits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137,530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135,871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capital loss carryforwards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related to the sales of future royalties</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862,462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(892,432)</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(859,084)</w:t>
            </w:r>
          </w:p>
        </w:tc>
      </w:tr>
      <w:tr>
        <w:trPr>
          <w:trHeight w:val="210"/>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20" w:type="dxa"/>
            <w:vAlign w:val="bottom"/>
            <w:tcBorders>
              <w:top w:val="single" w:sz="8" w:color="CFF0FC"/>
            </w:tcBorders>
          </w:tcPr>
          <w:p>
            <w:pPr>
              <w:spacing w:after="0"/>
              <w:rPr>
                <w:sz w:val="18"/>
                <w:szCs w:val="18"/>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foreign subsidiary</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(3,377)</w:t>
            </w: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(3,888)</w:t>
            </w: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-1165225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-882015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-882015</wp:posOffset>
            </wp:positionV>
            <wp:extent cx="7747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-316230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-316230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right="40" w:firstLine="644"/>
        <w:spacing w:after="0" w:line="266" w:lineRule="auto"/>
        <w:rPr>
          <w:sz w:val="20"/>
          <w:szCs w:val="20"/>
          <w:color w:val="auto"/>
        </w:rPr>
      </w:pPr>
      <w:r>
        <w:rPr>
          <w:rFonts w:ascii="Times New Roman" w:cs="Times New Roman" w:eastAsia="Times New Roman" w:hAnsi="Times New Roman"/>
          <w:sz w:val="18"/>
          <w:szCs w:val="18"/>
          <w:color w:val="auto"/>
        </w:rPr>
        <w:t>Realization of our deferred tax assets is dependent upon future earnings, if any, the timing and amount of which are uncertain. Because of our lack of U.S. earnings history and projected future losses, we have fully reserved our net U.S. deferred tax assets with a valuation allowance. The valuation allowance increased by $33.3 million for the year ended December 31, 2025 and increased by $4.6 million for the year ended December 31, 2024.</w:t>
      </w:r>
    </w:p>
    <w:p>
      <w:pPr>
        <w:spacing w:after="0" w:line="135" w:lineRule="exact"/>
        <w:rPr>
          <w:sz w:val="20"/>
          <w:szCs w:val="20"/>
          <w:color w:val="auto"/>
        </w:rPr>
      </w:pPr>
    </w:p>
    <w:p>
      <w:pPr>
        <w:ind w:right="100" w:firstLine="644"/>
        <w:spacing w:after="0" w:line="282" w:lineRule="auto"/>
        <w:rPr>
          <w:sz w:val="20"/>
          <w:szCs w:val="20"/>
          <w:color w:val="auto"/>
        </w:rPr>
      </w:pPr>
      <w:r>
        <w:rPr>
          <w:rFonts w:ascii="Times New Roman" w:cs="Times New Roman" w:eastAsia="Times New Roman" w:hAnsi="Times New Roman"/>
          <w:sz w:val="18"/>
          <w:szCs w:val="18"/>
          <w:color w:val="auto"/>
        </w:rPr>
        <w:t>Our net deferred tax liability position reflects the provision for the withholding taxes associated with the repatriation of accumulated earnings and profits from India.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and Tax Credit Carryforwards</w:t>
      </w:r>
    </w:p>
    <w:p>
      <w:pPr>
        <w:spacing w:after="0" w:line="202" w:lineRule="exact"/>
        <w:rPr>
          <w:sz w:val="20"/>
          <w:szCs w:val="20"/>
          <w:color w:val="auto"/>
        </w:rPr>
      </w:pPr>
    </w:p>
    <w:p>
      <w:pPr>
        <w:ind w:right="140" w:firstLine="644"/>
        <w:spacing w:after="0" w:line="258" w:lineRule="auto"/>
        <w:rPr>
          <w:sz w:val="20"/>
          <w:szCs w:val="20"/>
          <w:color w:val="auto"/>
        </w:rPr>
      </w:pPr>
      <w:r>
        <w:rPr>
          <w:rFonts w:ascii="Times New Roman" w:cs="Times New Roman" w:eastAsia="Times New Roman" w:hAnsi="Times New Roman"/>
          <w:sz w:val="18"/>
          <w:szCs w:val="18"/>
          <w:color w:val="auto"/>
        </w:rPr>
        <w:t>As of December 31, 2025, we had a net operating loss carryforward for federal income tax purposes of approximately $2.9 billion, of which $1.1 billion is subject to expiration beginning in 2026 and a total state net operating loss carryforward of approximately $1.0 billion, portions of which will begin to expire in 2027. We have federal tax credits of approximately $127.6 million, which will begin to expire in 2026 and state research credits of approximately $61.4 million which have no expiration date. Utilization of some of the federal and state net operating loss and credit carryforwards are subject to annual limitations due to the “change in ownership” provisions of the Internal Revenue Code of 1986 and similar state provisions.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the following activity relating to unrecognized tax benefits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2760" w:type="dxa"/>
            <w:vAlign w:val="bottom"/>
            <w:tcBorders>
              <w:bottom w:val="single" w:sz="8" w:color="auto"/>
            </w:tcBorders>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135,672</w:t>
            </w: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126,498</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Tax positions related to current year:</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w:t>
            </w:r>
          </w:p>
        </w:tc>
        <w:tc>
          <w:tcPr>
            <w:tcW w:w="9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positions related to prior years:</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100" w:type="dxa"/>
            <w:vAlign w:val="bottom"/>
          </w:tcPr>
          <w:p>
            <w:pPr>
              <w:spacing w:after="0"/>
              <w:rPr>
                <w:sz w:val="18"/>
                <w:szCs w:val="18"/>
                <w:color w:val="auto"/>
              </w:rPr>
            </w:pP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Reductions</w:t>
            </w: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9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Lapses in statute of limitations</w:t>
            </w: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(678)</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Pr>
          <w:p>
            <w:pPr>
              <w:jc w:val="right"/>
              <w:ind w:right="76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135,935</w:t>
            </w:r>
          </w:p>
        </w:tc>
        <w:tc>
          <w:tcPr>
            <w:tcW w:w="160" w:type="dxa"/>
            <w:vAlign w:val="bottom"/>
          </w:tcPr>
          <w:p>
            <w:pPr>
              <w:spacing w:after="0"/>
              <w:rPr>
                <w:sz w:val="18"/>
                <w:szCs w:val="18"/>
                <w:color w:val="auto"/>
              </w:rPr>
            </w:pP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135,672</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We currently have a full valuation allowance against our U.S. net deferred tax asset which would impact the timing of the effective tax rate benefit should any of these uncertain tax positions be favorably settled in the future. Adjustments to the substantial majority of our uncertain tax positions would result in an adjustment of our net operating loss or tax credit carryforwards rather than resulting in a cash outlay.</w:t>
      </w:r>
    </w:p>
    <w:p>
      <w:pPr>
        <w:spacing w:after="0" w:line="135" w:lineRule="exact"/>
        <w:rPr>
          <w:sz w:val="20"/>
          <w:szCs w:val="20"/>
          <w:color w:val="auto"/>
        </w:rPr>
      </w:pPr>
    </w:p>
    <w:p>
      <w:pPr>
        <w:jc w:val="both"/>
        <w:ind w:right="20" w:firstLine="644"/>
        <w:spacing w:after="0" w:line="256" w:lineRule="auto"/>
        <w:rPr>
          <w:sz w:val="20"/>
          <w:szCs w:val="20"/>
          <w:color w:val="auto"/>
        </w:rPr>
      </w:pPr>
      <w:r>
        <w:rPr>
          <w:rFonts w:ascii="Times New Roman" w:cs="Times New Roman" w:eastAsia="Times New Roman" w:hAnsi="Times New Roman"/>
          <w:sz w:val="18"/>
          <w:szCs w:val="18"/>
          <w:color w:val="auto"/>
        </w:rPr>
        <w:t>We file income tax returns in the U.S., California, Alabama, certain other states and India and certain other international jurisdictions. As a result of our net operating loss and research credit carryforwards, substantially all of our domestic tax years remain open and subject to examination. We may be subject to examination in India and other jurisdictions from time to time. Pursuant to a review of an India income tax return, in January 2026, we received a demand in India, which we are in the process of appealing. We have assessed the merits of the demand and have not recorded a provision as we believe that it is more likely than not that we will prevail. We do not believe that any liability resulting from such this or other examination would have a material effect on our financial position or results of operations.</w:t>
      </w:r>
    </w:p>
    <w:p>
      <w:pPr>
        <w:spacing w:after="0" w:line="147"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Our policy is to include interest and penalties related to unrecognized tax benefits, if any, within the benefit for income taxes in the consolidated statements of operations. During the years ended December 31, 2025 and 2024, no significant interest or penalties were recognized relating to unrecognized tax benefits.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Reporting</w:t>
      </w:r>
    </w:p>
    <w:p>
      <w:pPr>
        <w:spacing w:after="0" w:line="189" w:lineRule="exact"/>
        <w:rPr>
          <w:sz w:val="20"/>
          <w:szCs w:val="20"/>
          <w:color w:val="auto"/>
        </w:rPr>
      </w:pPr>
    </w:p>
    <w:p>
      <w:pPr>
        <w:ind w:right="260" w:firstLine="644"/>
        <w:spacing w:after="0" w:line="261" w:lineRule="auto"/>
        <w:rPr>
          <w:sz w:val="20"/>
          <w:szCs w:val="20"/>
          <w:color w:val="auto"/>
        </w:rPr>
      </w:pPr>
      <w:r>
        <w:rPr>
          <w:rFonts w:ascii="Times New Roman" w:cs="Times New Roman" w:eastAsia="Times New Roman" w:hAnsi="Times New Roman"/>
          <w:sz w:val="18"/>
          <w:szCs w:val="18"/>
          <w:color w:val="auto"/>
        </w:rPr>
        <w:t>We operate in one business segment which focuses on applying our expertise to develop novel drug candidates. Our business offerings have similar economics and other characteristics, including the nature of products and manufacturing processes, types of customers, distribution methods and regulatory environment. We are comprehensively managed as one business segment by our Chief Executive Officer, who is our chief operating decision maker (CODM).</w:t>
      </w:r>
    </w:p>
    <w:p>
      <w:pPr>
        <w:spacing w:after="0" w:line="139" w:lineRule="exact"/>
        <w:rPr>
          <w:sz w:val="20"/>
          <w:szCs w:val="20"/>
          <w:color w:val="auto"/>
        </w:rPr>
      </w:pPr>
    </w:p>
    <w:p>
      <w:pPr>
        <w:ind w:firstLine="644"/>
        <w:spacing w:after="0" w:line="266" w:lineRule="auto"/>
        <w:rPr>
          <w:sz w:val="20"/>
          <w:szCs w:val="20"/>
          <w:color w:val="auto"/>
        </w:rPr>
      </w:pPr>
      <w:r>
        <w:rPr>
          <w:rFonts w:ascii="Times New Roman" w:cs="Times New Roman" w:eastAsia="Times New Roman" w:hAnsi="Times New Roman"/>
          <w:sz w:val="18"/>
          <w:szCs w:val="18"/>
          <w:color w:val="auto"/>
        </w:rPr>
        <w:t>The CODM assesses the performance of the Company and decides how to allocate resources based upon net loss that is also reported within the Consolidated Statements of Operations. The measure of segment assets that is reviewed by the CODM is reported within the Consolidated Balance Sheet as total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is a summary of the significant expense categories and consolidated net loss details provided to the CODM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55,232</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Clinical development, contract manufacturing and other third party costs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Rezpegaldesleukin (IL-2 receptor agonist/regulatory T cell agent)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NKTR-255 (IL-15 receptor agonist)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NKTR-0165 (tumor necrosis factor receptor type II agonist)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Discovery research and other programs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clinical development, contract manufacturing and other third party costs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costs (a)(b)</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Facilities costs (a)</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operating costs (a)(c)</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the Huntsville manufacturing facility</w:t>
            </w:r>
          </w:p>
        </w:tc>
        <w:tc>
          <w:tcPr>
            <w:tcW w:w="3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(40,390)</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195,334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203,625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(140,102)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(105,198)</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interest expense on liabilities related to sales of future royalties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(28,112)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(15,385)</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(14,002)</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benefit for income taxes and equity method investment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(155,487)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(119,200)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equity method investment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(155,349)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(118,961)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(8,727)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(164,076)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(118,961)</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Other segment expense items included within net loss include the following (in thousands):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8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right-of-use assets and property, plant and equipment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(a)</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 (a)</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other segment expenses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1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-2922270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-2922270</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-2073910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-2073910</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-1790700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-1790700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-1508125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-1508125</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6" w:lineRule="exact"/>
        <w:rPr>
          <w:sz w:val="20"/>
          <w:szCs w:val="20"/>
          <w:color w:val="auto"/>
        </w:rPr>
      </w:pPr>
    </w:p>
    <w:p>
      <w:pPr>
        <w:ind w:left="960" w:right="40" w:hanging="473"/>
        <w:spacing w:after="0" w:line="261"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costs, facilities costs, other operating costs, stock-based compensation expense and depreciation and amortization expense include amounts reported in research and development expense and general and administrative expense in our Consolidated Statements of Operations. Such amounts reported in cost of goods sold in our Consolidated Statements of Operations are included in cost of goods sold in the summary of significant segment expenses above.</w:t>
      </w:r>
    </w:p>
    <w:p>
      <w:pPr>
        <w:spacing w:after="0" w:line="71"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compensation and benefits for our employees and costs for our contractors and temporary workers.</w:t>
      </w:r>
    </w:p>
    <w:p>
      <w:pPr>
        <w:spacing w:after="0" w:line="117" w:lineRule="exact"/>
        <w:rPr>
          <w:rFonts w:ascii="Times New Roman" w:cs="Times New Roman" w:eastAsia="Times New Roman" w:hAnsi="Times New Roman"/>
          <w:sz w:val="18"/>
          <w:szCs w:val="18"/>
          <w:color w:val="auto"/>
        </w:rPr>
      </w:pPr>
    </w:p>
    <w:p>
      <w:pPr>
        <w:ind w:left="960" w:right="480" w:hanging="473"/>
        <w:spacing w:after="0" w:line="282"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legal and patent expenses, information technology infrastructure and other costs, professional accounting, insurance, travel and entertainment and other third-party services and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60" w:firstLine="644"/>
        <w:spacing w:after="0" w:line="261" w:lineRule="auto"/>
        <w:rPr>
          <w:sz w:val="20"/>
          <w:szCs w:val="20"/>
          <w:color w:val="auto"/>
        </w:rPr>
      </w:pPr>
      <w:r>
        <w:rPr>
          <w:rFonts w:ascii="Times New Roman" w:cs="Times New Roman" w:eastAsia="Times New Roman" w:hAnsi="Times New Roman"/>
          <w:sz w:val="18"/>
          <w:szCs w:val="18"/>
          <w:color w:val="auto"/>
        </w:rPr>
        <w:t>Our revenue has been derived primarily from customers in the pharmaceutical and biotechnology industries. Revenue from Baxalta (a subsidiary of Takeda Pharmaceutical Company Limited), AstraZeneca, and UCB represented 45%, 37%, and 14% of our revenue, respectively, for the year ended December 31, 2025. Revenue from UCB, Baxalta, AstraZeneca, Pfizer Inc., and Roche represented 39%, 18%, 17%, 12% and 10% of our revenue, respectively, for the year ended December 31, 2024.</w:t>
      </w:r>
    </w:p>
    <w:p>
      <w:pPr>
        <w:spacing w:after="0" w:line="153" w:lineRule="exact"/>
        <w:rPr>
          <w:sz w:val="20"/>
          <w:szCs w:val="20"/>
          <w:color w:val="auto"/>
        </w:rPr>
      </w:pPr>
    </w:p>
    <w:p>
      <w:pPr>
        <w:ind w:right="760" w:firstLine="644"/>
        <w:spacing w:after="0" w:line="282" w:lineRule="auto"/>
        <w:rPr>
          <w:sz w:val="20"/>
          <w:szCs w:val="20"/>
          <w:color w:val="auto"/>
        </w:rPr>
      </w:pPr>
      <w:r>
        <w:rPr>
          <w:rFonts w:ascii="Times New Roman" w:cs="Times New Roman" w:eastAsia="Times New Roman" w:hAnsi="Times New Roman"/>
          <w:sz w:val="18"/>
          <w:szCs w:val="18"/>
          <w:color w:val="auto"/>
        </w:rPr>
        <w:t>Revenue by geographic area is based on the headquarters or shipping locations of our partners. The following table sets forth revenue by geographic area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340" w:type="dxa"/>
            <w:vAlign w:val="bottom"/>
            <w:gridSpan w:val="2"/>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3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55,232</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97,052</w:t>
            </w:r>
          </w:p>
        </w:tc>
        <w:tc>
          <w:tcPr>
            <w:tcW w:w="100" w:type="dxa"/>
            <w:vAlign w:val="bottom"/>
          </w:tcPr>
          <w:p>
            <w:pPr>
              <w:spacing w:after="0"/>
              <w:rPr>
                <w:sz w:val="18"/>
                <w:szCs w:val="18"/>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3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55,232</w:t>
            </w:r>
          </w:p>
        </w:tc>
        <w:tc>
          <w:tcPr>
            <w:tcW w:w="12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98,427</w:t>
            </w:r>
          </w:p>
        </w:tc>
        <w:tc>
          <w:tcPr>
            <w:tcW w:w="100" w:type="dxa"/>
            <w:vAlign w:val="bottom"/>
            <w:shd w:val="clear" w:color="auto" w:fill="CFF0FC"/>
          </w:tcPr>
          <w:p>
            <w:pPr>
              <w:spacing w:after="0"/>
              <w:rPr>
                <w:sz w:val="19"/>
                <w:szCs w:val="19"/>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33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2025 and 2024, all of our property, plant and equipment was located in the United States.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189"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On February 13, 2026, we completed the sale and issuance of 7,637,931 shares of common stock at a price of $58.00 per share and 293,103 pre-funded warrants at price of $57.9999 per pre-funded warrant in an underwritten public offering (the 2026 Offering). The estimated net proceeds from the 2026 Offering totaled approximately $432.0 million, after deducting underwriting discounts and commissions and estimated offering expenses. See Note 8 for additional information.</w:t>
      </w:r>
    </w:p>
    <w:p>
      <w:pPr>
        <w:spacing w:after="0" w:line="112" w:lineRule="exact"/>
        <w:rPr>
          <w:sz w:val="20"/>
          <w:szCs w:val="20"/>
          <w:color w:val="auto"/>
        </w:rPr>
      </w:pPr>
    </w:p>
    <w:p>
      <w:pPr>
        <w:ind w:right="280" w:firstLine="644"/>
        <w:spacing w:after="0" w:line="266" w:lineRule="auto"/>
        <w:rPr>
          <w:sz w:val="20"/>
          <w:szCs w:val="20"/>
          <w:color w:val="auto"/>
        </w:rPr>
      </w:pPr>
      <w:r>
        <w:rPr>
          <w:rFonts w:ascii="Times New Roman" w:cs="Times New Roman" w:eastAsia="Times New Roman" w:hAnsi="Times New Roman"/>
          <w:sz w:val="18"/>
          <w:szCs w:val="18"/>
          <w:color w:val="auto"/>
        </w:rPr>
        <w:t>From February 20, 2026 through March 11, 2026, we issued 639,131 shares of our common stock under the November 2025 ATM Sales Agreement at a weighted average price of $71.15 per share for net proceeds of $44.1 million after deducting related commissions of approximately $1.4 million.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02" w:lineRule="exact"/>
        <w:rPr>
          <w:sz w:val="20"/>
          <w:szCs w:val="20"/>
          <w:color w:val="auto"/>
        </w:rPr>
      </w:pPr>
    </w:p>
    <w:p>
      <w:pPr>
        <w:ind w:right="140" w:firstLine="64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Securities Exchange Act of 1934 (Exchange Act) reports is recorded, processed, summarized,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39"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 Based upon, and as of the date of, this evaluation, our Chief Executive Officer and Chief Financial Officer concluded that our disclosure controls and procedures were effective.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02" w:lineRule="exact"/>
        <w:rPr>
          <w:sz w:val="20"/>
          <w:szCs w:val="20"/>
          <w:color w:val="auto"/>
        </w:rPr>
      </w:pPr>
    </w:p>
    <w:p>
      <w:pPr>
        <w:ind w:right="20" w:firstLine="644"/>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 Our internal control over financial reporting is a process designed to provide reasonable assurance regarding the reliability of financial reporting and the preparation of financial statements for external purposes in accordance with GAAP.</w:t>
      </w:r>
    </w:p>
    <w:p>
      <w:pPr>
        <w:spacing w:after="0" w:line="135" w:lineRule="exact"/>
        <w:rPr>
          <w:sz w:val="20"/>
          <w:szCs w:val="20"/>
          <w:color w:val="auto"/>
        </w:rPr>
      </w:pPr>
    </w:p>
    <w:p>
      <w:pPr>
        <w:ind w:right="60" w:firstLine="644"/>
        <w:spacing w:after="0" w:line="266" w:lineRule="auto"/>
        <w:rPr>
          <w:sz w:val="20"/>
          <w:szCs w:val="20"/>
          <w:color w:val="auto"/>
        </w:rPr>
      </w:pPr>
      <w:r>
        <w:rPr>
          <w:rFonts w:ascii="Times New Roman" w:cs="Times New Roman" w:eastAsia="Times New Roman" w:hAnsi="Times New Roman"/>
          <w:sz w:val="18"/>
          <w:szCs w:val="18"/>
          <w:color w:val="auto"/>
        </w:rPr>
        <w:t>Our management has assessed the effectiveness of our internal control over financial reporting as of December 31, 2025. In making its assessment of internal control over financial reporting, management used the criteria described in Internal Control — Integrated Framework issued by the Committee of Sponsoring Organizations of the Treadway Commission (2013 Framework).</w:t>
      </w:r>
    </w:p>
    <w:p>
      <w:pPr>
        <w:spacing w:after="0" w:line="135" w:lineRule="exact"/>
        <w:rPr>
          <w:sz w:val="20"/>
          <w:szCs w:val="20"/>
          <w:color w:val="auto"/>
        </w:rPr>
      </w:pPr>
    </w:p>
    <w:p>
      <w:pPr>
        <w:ind w:right="20" w:firstLine="644"/>
        <w:spacing w:after="0" w:line="282" w:lineRule="auto"/>
        <w:rPr>
          <w:sz w:val="20"/>
          <w:szCs w:val="20"/>
          <w:color w:val="auto"/>
        </w:rPr>
      </w:pPr>
      <w:r>
        <w:rPr>
          <w:rFonts w:ascii="Times New Roman" w:cs="Times New Roman" w:eastAsia="Times New Roman" w:hAnsi="Times New Roman"/>
          <w:sz w:val="18"/>
          <w:szCs w:val="18"/>
          <w:color w:val="auto"/>
        </w:rPr>
        <w:t>Based on our evaluation under the framework described in Internal Control — Integrated Framework, our management concluded that our internal control over financial reporting was effective as of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the Company. There was no change in our internal control over financial reporting during the quarter ended December 31, 2025, which was identified in connection with our management’s evaluation required by Exchange Act Rules 13a-15(f) and 15d-15(f) that has materially affected, or is reasonably likely to materially affect, our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the Effectiveness of Controls</w:t>
      </w:r>
    </w:p>
    <w:p>
      <w:pPr>
        <w:spacing w:after="0" w:line="202" w:lineRule="exact"/>
        <w:rPr>
          <w:sz w:val="20"/>
          <w:szCs w:val="20"/>
          <w:color w:val="auto"/>
        </w:rPr>
      </w:pPr>
    </w:p>
    <w:p>
      <w:pPr>
        <w:ind w:firstLine="64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89"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directors or “officers,” as defined in Rule 16a-1(f) under the Securities Exchange Act of 1934, adopted or terminated a Rule 10b5-1 trading plan or arrangement or a non-Rule 10b5-1 trading plan or arrangement, as defined in Item 408(c) of Regulation S-K, during the fiscal quarter covered by this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02" w:lineRule="exact"/>
        <w:rPr>
          <w:sz w:val="20"/>
          <w:szCs w:val="20"/>
          <w:color w:val="auto"/>
        </w:rPr>
      </w:pPr>
    </w:p>
    <w:p>
      <w:pPr>
        <w:ind w:right="160" w:firstLine="644"/>
        <w:spacing w:after="0" w:line="258" w:lineRule="auto"/>
        <w:rPr>
          <w:sz w:val="20"/>
          <w:szCs w:val="20"/>
          <w:color w:val="auto"/>
        </w:rPr>
      </w:pPr>
      <w:r>
        <w:rPr>
          <w:rFonts w:ascii="Times New Roman" w:cs="Times New Roman" w:eastAsia="Times New Roman" w:hAnsi="Times New Roman"/>
          <w:sz w:val="18"/>
          <w:szCs w:val="18"/>
          <w:color w:val="auto"/>
        </w:rPr>
        <w:t>Information relating to our executive officers required by this item is set forth in Part I — Item 1 of this report under the caption “Information about our Executive Officers” and is incorporated herein by reference. The other information required by this Item is incorporated by reference from the definitive proxy statement for our 2026 Annual Meeting of Stockholders to be filed with the SEC pursuant to Regulation 14A (Proxy Statement) not later than 120 days after the end of the fiscal year covered by this Form 10-K under the captions “Corporate Governance and Board of Directors,” “Proposal 1 — Election of Directors” and “Section 16(a) Beneficial Ownership Reporting Compliance.”</w:t>
      </w:r>
    </w:p>
    <w:p>
      <w:pPr>
        <w:spacing w:after="0" w:line="143" w:lineRule="exact"/>
        <w:rPr>
          <w:sz w:val="20"/>
          <w:szCs w:val="20"/>
          <w:color w:val="auto"/>
        </w:rPr>
      </w:pPr>
    </w:p>
    <w:p>
      <w:pPr>
        <w:ind w:right="160" w:firstLine="644"/>
        <w:spacing w:after="0" w:line="282" w:lineRule="auto"/>
        <w:rPr>
          <w:sz w:val="20"/>
          <w:szCs w:val="20"/>
          <w:color w:val="auto"/>
        </w:rPr>
      </w:pPr>
      <w:r>
        <w:rPr>
          <w:rFonts w:ascii="Times New Roman" w:cs="Times New Roman" w:eastAsia="Times New Roman" w:hAnsi="Times New Roman"/>
          <w:sz w:val="18"/>
          <w:szCs w:val="18"/>
          <w:color w:val="auto"/>
        </w:rPr>
        <w:t>Information regarding our audit committee financial expert will be set forth in the Proxy Statement under the caption “Audit Committee,” which information is incorporated herein by reference.</w:t>
      </w:r>
    </w:p>
    <w:p>
      <w:pPr>
        <w:spacing w:after="0" w:line="121" w:lineRule="exact"/>
        <w:rPr>
          <w:sz w:val="20"/>
          <w:szCs w:val="20"/>
          <w:color w:val="auto"/>
        </w:rPr>
      </w:pPr>
    </w:p>
    <w:p>
      <w:pPr>
        <w:ind w:firstLine="644"/>
        <w:spacing w:after="0" w:line="258" w:lineRule="auto"/>
        <w:rPr>
          <w:sz w:val="20"/>
          <w:szCs w:val="20"/>
          <w:color w:val="auto"/>
        </w:rPr>
      </w:pPr>
      <w:r>
        <w:rPr>
          <w:rFonts w:ascii="Times New Roman" w:cs="Times New Roman" w:eastAsia="Times New Roman" w:hAnsi="Times New Roman"/>
          <w:sz w:val="18"/>
          <w:szCs w:val="18"/>
          <w:color w:val="auto"/>
        </w:rPr>
        <w:t>We have a Code of Business Conduct and Ethics applicable to all employees, including the principal executive officer, principal financial officer and principal accounting officer or controller, or persons performing similar functions. The Code of Business Conduct and Ethics is posted on our website at www.nektar.com. Amendments to, and waivers from, the Code of Business Conduct and Ethics that apply to any of these officers, or persons performing similar functions, and that relate to any element of the code of ethics definition enumerated in Item 406(b) of Regulation S-K will be disclosed at the website address provided above and, to the extent required by applicable regulations, on a current report on Form 8-K.</w:t>
      </w:r>
    </w:p>
    <w:p>
      <w:pPr>
        <w:spacing w:after="0" w:line="156" w:lineRule="exact"/>
        <w:rPr>
          <w:sz w:val="20"/>
          <w:szCs w:val="20"/>
          <w:color w:val="auto"/>
        </w:rPr>
      </w:pPr>
    </w:p>
    <w:p>
      <w:pPr>
        <w:ind w:right="80" w:firstLine="644"/>
        <w:spacing w:after="0" w:line="254" w:lineRule="auto"/>
        <w:rPr>
          <w:sz w:val="20"/>
          <w:szCs w:val="20"/>
          <w:color w:val="auto"/>
        </w:rPr>
      </w:pPr>
      <w:r>
        <w:rPr>
          <w:rFonts w:ascii="Times New Roman" w:cs="Times New Roman" w:eastAsia="Times New Roman" w:hAnsi="Times New Roman"/>
          <w:sz w:val="18"/>
          <w:szCs w:val="18"/>
          <w:color w:val="auto"/>
        </w:rPr>
        <w:t>As permitted by SEC Rule 10b5-1, certain of our executive officers, directors and other employees have or may set up a predefined, structured stock trading program with their broker to sell our stock. The stock trading program allows a broker acting on behalf of the executive officer, director or other employee to trade our stock during blackout periods or while such executive officer, director or other employee may be aware of material, nonpublic information, if the trade is performed according to a pre-existing contract, instruction or plan that was established with the broker when such executive officer, director or employee was not aware of any material, nonpublic information. Executive officers and directors can only sell our stock in accordance with our securities trading policy and pursuant to a stock trading program set up under Rule 10b5-1 (wherein “exercise and hold” and stock purchases are exempted, and sales outside such a program can proceed upon approval of the Nominating and Corporate Governance Committee of our Board of Directors. Employees who are not executive officers may trade our stock outside of the stock trading programs set up under Rule 10b5-1 subject to our securities trading policy.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Accountant Fees and Services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Proxy Statement and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15. Exhibits and Financial Statement Schedules</w:t>
      </w:r>
    </w:p>
    <w:p>
      <w:pPr>
        <w:spacing w:after="0" w:line="202" w:lineRule="exact"/>
        <w:rPr>
          <w:sz w:val="20"/>
          <w:szCs w:val="20"/>
          <w:color w:val="auto"/>
        </w:rPr>
      </w:pPr>
    </w:p>
    <w:p>
      <w:pPr>
        <w:ind w:left="1300" w:hanging="648"/>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85" w:lineRule="exact"/>
        <w:rPr>
          <w:sz w:val="20"/>
          <w:szCs w:val="20"/>
          <w:color w:val="auto"/>
        </w:rPr>
      </w:pPr>
    </w:p>
    <w:p>
      <w:pPr>
        <w:ind w:left="1300" w:hanging="648"/>
        <w:spacing w:after="0"/>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statements are filed as part of this Annual Report on Form 10-K under Item 8 “Financial Statements and Supplementary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10540" w:type="dxa"/>
            <w:vAlign w:val="bottom"/>
            <w:gridSpan w:val="9"/>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70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8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5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Consolidated Balance Sheets at December 31, 2025 and 2024</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8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tcBorders>
              <w:bottom w:val="single" w:sz="8" w:color="0000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Consolidated Statements of Operations for each of the two years in the period ended December 31, 2025</w:t>
            </w:r>
          </w:p>
        </w:tc>
        <w:tc>
          <w:tcPr>
            <w:tcW w:w="3000" w:type="dxa"/>
            <w:vAlign w:val="bottom"/>
            <w:tcBorders>
              <w:bottom w:val="single" w:sz="8" w:color="CCEEFF"/>
            </w:tcBorders>
            <w:gridSpan w:val="3"/>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5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Comprehensive Loss for each of the two years in the period ended December 31, 2025</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4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Stockholders’ Equity for each of the two years in the period ended December 31, 202</w:t>
            </w:r>
            <w:r>
              <w:rPr>
                <w:rFonts w:ascii="Times New Roman" w:cs="Times New Roman" w:eastAsia="Times New Roman" w:hAnsi="Times New Roman"/>
                <w:sz w:val="18"/>
                <w:szCs w:val="18"/>
                <w:color w:val="000000"/>
              </w:rPr>
              <w:t>5</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180" w:type="dxa"/>
            <w:vAlign w:val="bottom"/>
            <w:tcBorders>
              <w:top w:val="single" w:sz="8" w:color="0000FF"/>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Consolidated Statements of Cash Flows for each of the two years in the period ended December 31, 202</w:t>
            </w:r>
            <w:r>
              <w:rPr>
                <w:rFonts w:ascii="Times New Roman" w:cs="Times New Roman" w:eastAsia="Times New Roman" w:hAnsi="Times New Roman"/>
                <w:sz w:val="18"/>
                <w:szCs w:val="18"/>
                <w:color w:val="000000"/>
              </w:rPr>
              <w:t>5</w:t>
            </w:r>
          </w:p>
        </w:tc>
        <w:tc>
          <w:tcPr>
            <w:tcW w:w="2360" w:type="dxa"/>
            <w:vAlign w:val="bottom"/>
            <w:tcBorders>
              <w:top w:val="single" w:sz="8" w:color="CCEEFF"/>
            </w:tcBorders>
            <w:gridSpan w:val="2"/>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8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0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380" w:type="dxa"/>
            <w:vAlign w:val="bottom"/>
            <w:tcBorders>
              <w:bottom w:val="single" w:sz="8" w:color="CCEEFF"/>
            </w:tcBorders>
            <w:gridSpan w:val="7"/>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w:t>
            </w:r>
          </w:p>
        </w:tc>
        <w:tc>
          <w:tcPr>
            <w:tcW w:w="9460" w:type="dxa"/>
            <w:vAlign w:val="bottom"/>
            <w:gridSpan w:val="8"/>
          </w:tcPr>
          <w:p>
            <w:pPr>
              <w:ind w:left="220"/>
              <w:spacing w:after="0"/>
              <w:rPr>
                <w:sz w:val="20"/>
                <w:szCs w:val="20"/>
                <w:color w:val="auto"/>
              </w:rPr>
            </w:pPr>
            <w:r>
              <w:rPr>
                <w:rFonts w:ascii="Times New Roman" w:cs="Times New Roman" w:eastAsia="Times New Roman" w:hAnsi="Times New Roman"/>
                <w:sz w:val="18"/>
                <w:szCs w:val="18"/>
                <w:i w:val="1"/>
                <w:iCs w:val="1"/>
                <w:color w:val="auto"/>
              </w:rPr>
              <w:t>Financial Statement Schedules: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180" w:firstLine="64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or the information required is presented in our consolidated financial statements and notes thereto under Item 8 of this Annual Report on Form 10-K.</w:t>
      </w:r>
    </w:p>
    <w:p>
      <w:pPr>
        <w:spacing w:after="0" w:line="119" w:lineRule="exact"/>
        <w:rPr>
          <w:sz w:val="20"/>
          <w:szCs w:val="20"/>
          <w:color w:val="auto"/>
        </w:rPr>
      </w:pPr>
    </w:p>
    <w:p>
      <w:pPr>
        <w:ind w:left="1300" w:hanging="648"/>
        <w:spacing w:after="0"/>
        <w:tabs>
          <w:tab w:leader="none" w:pos="13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so indicated in Exhibit 32.1, the following exhibits are filed as part of, or incorporated by reference into, this Annual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16. Form 10-K Summary.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provided.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Documents</w:t>
            </w:r>
          </w:p>
        </w:tc>
      </w:tr>
      <w:tr>
        <w:trPr>
          <w:trHeight w:val="29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000" w:type="dxa"/>
            <w:vAlign w:val="bottom"/>
            <w:gridSpan w:val="24"/>
          </w:tcPr>
          <w:p>
            <w:pPr>
              <w:ind w:left="20"/>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Certificate of Incorporation of Inhale Therapeutic Systems (Delaware), Inc.</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4"/>
                <w:szCs w:val="24"/>
                <w:color w:val="auto"/>
              </w:rPr>
            </w:pPr>
          </w:p>
        </w:tc>
        <w:tc>
          <w:tcPr>
            <w:tcW w:w="10000" w:type="dxa"/>
            <w:vAlign w:val="bottom"/>
            <w:gridSpan w:val="24"/>
          </w:tcPr>
          <w:p>
            <w:pPr>
              <w:ind w:left="20"/>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Certificate of Amendment of the Amended Certificate of Incorporation of Inhale Therapeutic Systems, Inc.</w:t>
              </w:r>
            </w:hyperlink>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4"/>
                <w:szCs w:val="24"/>
                <w:color w:val="auto"/>
              </w:rPr>
            </w:pPr>
          </w:p>
        </w:tc>
        <w:tc>
          <w:tcPr>
            <w:tcW w:w="7720" w:type="dxa"/>
            <w:vAlign w:val="bottom"/>
            <w:tcBorders>
              <w:top w:val="single" w:sz="8" w:color="0000FF"/>
            </w:tcBorders>
            <w:gridSpan w:val="21"/>
          </w:tcPr>
          <w:p>
            <w:pPr>
              <w:ind w:left="20"/>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Certificate of Ownership and Merger of Nektar Therapeutics.</w:t>
              </w:r>
            </w:hyperlink>
          </w:p>
        </w:tc>
        <w:tc>
          <w:tcPr>
            <w:tcW w:w="2280" w:type="dxa"/>
            <w:vAlign w:val="bottom"/>
            <w:gridSpan w:val="3"/>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4"/>
                <w:szCs w:val="24"/>
                <w:color w:val="auto"/>
              </w:rPr>
            </w:pPr>
          </w:p>
        </w:tc>
        <w:tc>
          <w:tcPr>
            <w:tcW w:w="8180" w:type="dxa"/>
            <w:vAlign w:val="bottom"/>
            <w:tcBorders>
              <w:bottom w:val="single" w:sz="8" w:color="0000FF"/>
            </w:tcBorders>
            <w:gridSpan w:val="22"/>
          </w:tcPr>
          <w:p>
            <w:pPr>
              <w:ind w:left="20"/>
              <w:spacing w:after="0"/>
              <w:rPr>
                <w:rFonts w:ascii="Times New Roman" w:cs="Times New Roman" w:eastAsia="Times New Roman" w:hAnsi="Times New Roman"/>
                <w:sz w:val="18"/>
                <w:szCs w:val="18"/>
                <w:color w:val="0000FF"/>
                <w:w w:val="99"/>
              </w:rPr>
            </w:pPr>
            <w:hyperlink r:id="rId318">
              <w:r>
                <w:rPr>
                  <w:rFonts w:ascii="Times New Roman" w:cs="Times New Roman" w:eastAsia="Times New Roman" w:hAnsi="Times New Roman"/>
                  <w:sz w:val="18"/>
                  <w:szCs w:val="18"/>
                  <w:color w:val="0000FF"/>
                  <w:w w:val="99"/>
                </w:rPr>
                <w:t>Certificate of Ownership and Merger of Nektar Therapeutics AL, Corporation with and into Nektar Therapeutics.</w:t>
              </w:r>
            </w:hyperlink>
          </w:p>
        </w:tc>
        <w:tc>
          <w:tcPr>
            <w:tcW w:w="1820" w:type="dxa"/>
            <w:vAlign w:val="bottom"/>
            <w:gridSpan w:val="2"/>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4"/>
                <w:szCs w:val="24"/>
                <w:color w:val="auto"/>
              </w:rPr>
            </w:pPr>
          </w:p>
        </w:tc>
        <w:tc>
          <w:tcPr>
            <w:tcW w:w="10000" w:type="dxa"/>
            <w:vAlign w:val="bottom"/>
            <w:gridSpan w:val="24"/>
          </w:tcPr>
          <w:p>
            <w:pPr>
              <w:ind w:left="20"/>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Amended and Restated Bylaws of Nektar Therapeutics.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000" w:type="dxa"/>
            <w:vAlign w:val="bottom"/>
            <w:gridSpan w:val="24"/>
          </w:tcPr>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315">
              <w:r>
                <w:rPr>
                  <w:rFonts w:ascii="Times New Roman" w:cs="Times New Roman" w:eastAsia="Times New Roman" w:hAnsi="Times New Roman"/>
                  <w:sz w:val="18"/>
                  <w:szCs w:val="18"/>
                  <w:color w:val="0000FF"/>
                </w:rPr>
                <w:t>3.1</w:t>
              </w:r>
            </w:hyperlink>
            <w:r>
              <w:rPr>
                <w:rFonts w:ascii="Times New Roman" w:cs="Times New Roman" w:eastAsia="Times New Roman" w:hAnsi="Times New Roman"/>
                <w:sz w:val="18"/>
                <w:szCs w:val="18"/>
                <w:color w:val="auto"/>
              </w:rPr>
              <w:t xml:space="preserve">, </w:t>
            </w:r>
            <w:hyperlink r:id="rId316">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 xml:space="preserve">, </w:t>
            </w:r>
            <w:hyperlink r:id="rId317">
              <w:r>
                <w:rPr>
                  <w:rFonts w:ascii="Times New Roman" w:cs="Times New Roman" w:eastAsia="Times New Roman" w:hAnsi="Times New Roman"/>
                  <w:sz w:val="18"/>
                  <w:szCs w:val="18"/>
                  <w:color w:val="0000FF"/>
                </w:rPr>
                <w:t>3.3</w:t>
              </w:r>
            </w:hyperlink>
            <w:r>
              <w:rPr>
                <w:rFonts w:ascii="Times New Roman" w:cs="Times New Roman" w:eastAsia="Times New Roman" w:hAnsi="Times New Roman"/>
                <w:sz w:val="18"/>
                <w:szCs w:val="18"/>
                <w:color w:val="auto"/>
              </w:rPr>
              <w:t xml:space="preserve">, </w:t>
            </w:r>
            <w:hyperlink r:id="rId318">
              <w:r>
                <w:rPr>
                  <w:rFonts w:ascii="Times New Roman" w:cs="Times New Roman" w:eastAsia="Times New Roman" w:hAnsi="Times New Roman"/>
                  <w:sz w:val="18"/>
                  <w:szCs w:val="18"/>
                  <w:color w:val="0000FF"/>
                </w:rPr>
                <w:t>3.4</w:t>
              </w:r>
            </w:hyperlink>
            <w:r>
              <w:rPr>
                <w:rFonts w:ascii="Times New Roman" w:cs="Times New Roman" w:eastAsia="Times New Roman" w:hAnsi="Times New Roman"/>
                <w:sz w:val="18"/>
                <w:szCs w:val="18"/>
                <w:color w:val="auto"/>
              </w:rPr>
              <w:t xml:space="preserve">, and </w:t>
            </w:r>
            <w:hyperlink r:id="rId320">
              <w:r>
                <w:rPr>
                  <w:rFonts w:ascii="Times New Roman" w:cs="Times New Roman" w:eastAsia="Times New Roman" w:hAnsi="Times New Roman"/>
                  <w:sz w:val="18"/>
                  <w:szCs w:val="18"/>
                  <w:color w:val="0000FF"/>
                </w:rPr>
                <w:t>3.5</w:t>
              </w:r>
            </w:hyperlink>
            <w:r>
              <w:rPr>
                <w:rFonts w:ascii="Times New Roman" w:cs="Times New Roman" w:eastAsia="Times New Roman" w:hAnsi="Times New Roman"/>
                <w:sz w:val="18"/>
                <w:szCs w:val="18"/>
                <w:color w:val="auto"/>
              </w:rPr>
              <w:t>.</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4"/>
                <w:szCs w:val="24"/>
                <w:color w:val="auto"/>
              </w:rPr>
            </w:pPr>
          </w:p>
        </w:tc>
        <w:tc>
          <w:tcPr>
            <w:tcW w:w="10000" w:type="dxa"/>
            <w:vAlign w:val="bottom"/>
            <w:gridSpan w:val="24"/>
          </w:tcPr>
          <w:p>
            <w:pPr>
              <w:ind w:left="20"/>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Specimen Common Stock certificate.</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right w:val="single" w:sz="8" w:color="0000FF"/>
            </w:tcBorders>
            <w:gridSpan w:val="4"/>
            <w:shd w:val="clear" w:color="auto" w:fill="0000FF"/>
          </w:tcPr>
          <w:p>
            <w:pPr>
              <w:spacing w:after="0" w:line="20" w:lineRule="exact"/>
              <w:rPr>
                <w:sz w:val="1"/>
                <w:szCs w:val="1"/>
                <w:color w:val="auto"/>
              </w:rPr>
            </w:pPr>
          </w:p>
        </w:tc>
        <w:tc>
          <w:tcPr>
            <w:tcW w:w="820" w:type="dxa"/>
            <w:vAlign w:val="bottom"/>
            <w:tcBorders>
              <w:left w:val="single" w:sz="8" w:color="0000EE"/>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4"/>
                <w:szCs w:val="24"/>
                <w:color w:val="auto"/>
              </w:rPr>
            </w:pPr>
          </w:p>
        </w:tc>
        <w:tc>
          <w:tcPr>
            <w:tcW w:w="10000" w:type="dxa"/>
            <w:vAlign w:val="bottom"/>
            <w:tcBorders>
              <w:bottom w:val="single" w:sz="8" w:color="0000FF"/>
            </w:tcBorders>
            <w:gridSpan w:val="24"/>
          </w:tcPr>
          <w:p>
            <w:pPr>
              <w:ind w:left="20"/>
              <w:spacing w:after="0"/>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Indenture dated October 5, 2015 by and between Nektar Therapeutics and Wilmington Trust, National Association, and TC Lending, LLC</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4"/>
          </w:tcPr>
          <w:p>
            <w:pPr>
              <w:ind w:left="20"/>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including the form of 7.75% Senior Secured Note due 2020.</w:t>
              </w:r>
            </w:hyperlink>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Pr>
          <w:p>
            <w:pPr>
              <w:spacing w:after="0"/>
              <w:rPr>
                <w:sz w:val="24"/>
                <w:szCs w:val="24"/>
                <w:color w:val="auto"/>
              </w:rPr>
            </w:pPr>
          </w:p>
        </w:tc>
        <w:tc>
          <w:tcPr>
            <w:tcW w:w="4340" w:type="dxa"/>
            <w:vAlign w:val="bottom"/>
            <w:tcBorders>
              <w:top w:val="single" w:sz="8" w:color="0000FF"/>
            </w:tcBorders>
            <w:gridSpan w:val="15"/>
          </w:tcPr>
          <w:p>
            <w:pPr>
              <w:ind w:left="20"/>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Description of Securities.</w:t>
              </w:r>
            </w:hyperlink>
          </w:p>
        </w:tc>
        <w:tc>
          <w:tcPr>
            <w:tcW w:w="5660" w:type="dxa"/>
            <w:vAlign w:val="bottom"/>
            <w:gridSpan w:val="9"/>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3500" w:type="dxa"/>
            <w:vAlign w:val="bottom"/>
            <w:tcBorders>
              <w:bottom w:val="single" w:sz="8" w:color="0000FF"/>
            </w:tcBorders>
            <w:gridSpan w:val="11"/>
          </w:tcPr>
          <w:p>
            <w:pPr>
              <w:ind w:left="20"/>
              <w:spacing w:after="0"/>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Discretionary Incentive Compensation Policy++</w:t>
              </w:r>
            </w:hyperlink>
          </w:p>
        </w:tc>
        <w:tc>
          <w:tcPr>
            <w:tcW w:w="20" w:type="dxa"/>
            <w:vAlign w:val="bottom"/>
            <w:tcBorders>
              <w:bottom w:val="single" w:sz="8" w:color="0000EE"/>
            </w:tcBorders>
          </w:tcPr>
          <w:p>
            <w:pPr>
              <w:spacing w:after="0"/>
              <w:rPr>
                <w:sz w:val="24"/>
                <w:szCs w:val="24"/>
                <w:color w:val="auto"/>
              </w:rPr>
            </w:pPr>
          </w:p>
        </w:tc>
        <w:tc>
          <w:tcPr>
            <w:tcW w:w="6480" w:type="dxa"/>
            <w:vAlign w:val="bottom"/>
            <w:gridSpan w:val="12"/>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4"/>
                <w:szCs w:val="24"/>
                <w:color w:val="auto"/>
              </w:rPr>
            </w:pPr>
          </w:p>
        </w:tc>
        <w:tc>
          <w:tcPr>
            <w:tcW w:w="506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w w:val="99"/>
              </w:rPr>
            </w:pPr>
            <w:hyperlink r:id="rId325">
              <w:r>
                <w:rPr>
                  <w:rFonts w:ascii="Times New Roman" w:cs="Times New Roman" w:eastAsia="Times New Roman" w:hAnsi="Times New Roman"/>
                  <w:sz w:val="18"/>
                  <w:szCs w:val="18"/>
                  <w:color w:val="0000FF"/>
                  <w:w w:val="99"/>
                </w:rPr>
                <w:t>Amended and Restated Change of Control Severance Benefit Plan.++</w:t>
              </w:r>
            </w:hyperlink>
          </w:p>
        </w:tc>
        <w:tc>
          <w:tcPr>
            <w:tcW w:w="4940" w:type="dxa"/>
            <w:vAlign w:val="bottom"/>
            <w:gridSpan w:val="7"/>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4"/>
                <w:szCs w:val="24"/>
                <w:color w:val="auto"/>
              </w:rPr>
            </w:pPr>
          </w:p>
        </w:tc>
        <w:tc>
          <w:tcPr>
            <w:tcW w:w="10000" w:type="dxa"/>
            <w:vAlign w:val="bottom"/>
            <w:gridSpan w:val="24"/>
          </w:tcPr>
          <w:p>
            <w:pPr>
              <w:ind w:left="20"/>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2012 Performance Incentive Plan.++</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80" w:type="dxa"/>
            <w:vAlign w:val="bottom"/>
            <w:tcBorders>
              <w:right w:val="single" w:sz="8" w:color="0000EE"/>
            </w:tcBorders>
            <w:gridSpan w:val="5"/>
            <w:shd w:val="clear" w:color="auto" w:fill="0000FF"/>
          </w:tcPr>
          <w:p>
            <w:pPr>
              <w:spacing w:after="0" w:line="20" w:lineRule="exact"/>
              <w:rPr>
                <w:sz w:val="1"/>
                <w:szCs w:val="1"/>
                <w:color w:val="auto"/>
              </w:rPr>
            </w:pPr>
          </w:p>
        </w:tc>
        <w:tc>
          <w:tcPr>
            <w:tcW w:w="2380" w:type="dxa"/>
            <w:vAlign w:val="bottom"/>
            <w:gridSpan w:val="1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10.4(10)</w:t>
            </w:r>
          </w:p>
        </w:tc>
        <w:tc>
          <w:tcPr>
            <w:tcW w:w="100" w:type="dxa"/>
            <w:vAlign w:val="bottom"/>
          </w:tcPr>
          <w:p>
            <w:pPr>
              <w:spacing w:after="0"/>
              <w:rPr>
                <w:sz w:val="24"/>
                <w:szCs w:val="24"/>
                <w:color w:val="auto"/>
              </w:rPr>
            </w:pPr>
          </w:p>
        </w:tc>
        <w:tc>
          <w:tcPr>
            <w:tcW w:w="9940" w:type="dxa"/>
            <w:vAlign w:val="bottom"/>
            <w:tcBorders>
              <w:bottom w:val="single" w:sz="8" w:color="0000FF"/>
            </w:tcBorders>
            <w:gridSpan w:val="23"/>
          </w:tcPr>
          <w:p>
            <w:pPr>
              <w:ind w:left="20"/>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Forms of Stock Option Agreement, Performance Stock Option Agreement, Restricted Stock Unit Agreement and Performance Restricted</w:t>
              </w:r>
            </w:hyperlink>
          </w:p>
        </w:tc>
        <w:tc>
          <w:tcPr>
            <w:tcW w:w="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24"/>
          </w:tcPr>
          <w:p>
            <w:pPr>
              <w:ind w:left="20"/>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Stock Unit Agreement under the 2012 Performance Incentive Plan.++</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60" w:type="dxa"/>
            <w:vAlign w:val="bottom"/>
            <w:tcBorders>
              <w:right w:val="single" w:sz="8" w:color="0000EE"/>
            </w:tcBorders>
            <w:gridSpan w:val="17"/>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tcPr>
          <w:p>
            <w:pPr>
              <w:spacing w:after="0"/>
              <w:rPr>
                <w:sz w:val="24"/>
                <w:szCs w:val="24"/>
                <w:color w:val="auto"/>
              </w:rPr>
            </w:pPr>
          </w:p>
        </w:tc>
        <w:tc>
          <w:tcPr>
            <w:tcW w:w="682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w w:val="99"/>
              </w:rPr>
            </w:pPr>
            <w:hyperlink r:id="rId328">
              <w:r>
                <w:rPr>
                  <w:rFonts w:ascii="Times New Roman" w:cs="Times New Roman" w:eastAsia="Times New Roman" w:hAnsi="Times New Roman"/>
                  <w:sz w:val="18"/>
                  <w:szCs w:val="18"/>
                  <w:color w:val="0000FF"/>
                  <w:w w:val="99"/>
                </w:rPr>
                <w:t>Nektar Therapeutics Amended and Restated 2017 Performance Incentive Plan, as amended.++</w:t>
              </w:r>
            </w:hyperlink>
          </w:p>
        </w:tc>
        <w:tc>
          <w:tcPr>
            <w:tcW w:w="20" w:type="dxa"/>
            <w:vAlign w:val="bottom"/>
            <w:tcBorders>
              <w:bottom w:val="single" w:sz="8" w:color="0000EE"/>
            </w:tcBorders>
          </w:tcPr>
          <w:p>
            <w:pPr>
              <w:spacing w:after="0"/>
              <w:rPr>
                <w:sz w:val="24"/>
                <w:szCs w:val="24"/>
                <w:color w:val="auto"/>
              </w:rPr>
            </w:pPr>
          </w:p>
        </w:tc>
        <w:tc>
          <w:tcPr>
            <w:tcW w:w="3160" w:type="dxa"/>
            <w:vAlign w:val="bottom"/>
            <w:gridSpan w:val="4"/>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30"/>
          </w:tcPr>
          <w:p>
            <w:pPr>
              <w:ind w:left="160"/>
              <w:spacing w:after="0"/>
              <w:rPr>
                <w:sz w:val="20"/>
                <w:szCs w:val="20"/>
                <w:color w:val="auto"/>
              </w:rPr>
            </w:pPr>
            <w:r>
              <w:rPr>
                <w:rFonts w:ascii="Times New Roman" w:cs="Times New Roman" w:eastAsia="Times New Roman" w:hAnsi="Times New Roman"/>
                <w:sz w:val="18"/>
                <w:szCs w:val="18"/>
                <w:b w:val="1"/>
                <w:bCs w:val="1"/>
                <w:color w:val="auto"/>
              </w:rPr>
              <w:t>Description of Documents</w:t>
            </w:r>
          </w:p>
        </w:tc>
      </w:tr>
      <w:tr>
        <w:trPr>
          <w:trHeight w:val="29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10.6(12)</w:t>
            </w:r>
          </w:p>
        </w:tc>
        <w:tc>
          <w:tcPr>
            <w:tcW w:w="100" w:type="dxa"/>
            <w:vAlign w:val="bottom"/>
          </w:tcPr>
          <w:p>
            <w:pPr>
              <w:spacing w:after="0"/>
              <w:rPr>
                <w:sz w:val="24"/>
                <w:szCs w:val="24"/>
                <w:color w:val="auto"/>
              </w:rPr>
            </w:pPr>
          </w:p>
        </w:tc>
        <w:tc>
          <w:tcPr>
            <w:tcW w:w="9900" w:type="dxa"/>
            <w:vAlign w:val="bottom"/>
            <w:tcBorders>
              <w:bottom w:val="single" w:sz="8" w:color="0000FF"/>
            </w:tcBorders>
            <w:gridSpan w:val="39"/>
          </w:tcPr>
          <w:p>
            <w:pPr>
              <w:ind w:left="20"/>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Forms of Stock Option Agreement, Performance Stock Option Agreement, Non-Employee Director Stock Option Agreement, Restricted</w:t>
              </w:r>
            </w:hyperlink>
          </w:p>
        </w:tc>
        <w:tc>
          <w:tcPr>
            <w:tcW w:w="10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00" w:type="dxa"/>
            <w:vAlign w:val="bottom"/>
            <w:tcBorders>
              <w:bottom w:val="single" w:sz="8" w:color="0000FF"/>
            </w:tcBorders>
            <w:gridSpan w:val="32"/>
          </w:tcPr>
          <w:p>
            <w:pPr>
              <w:ind w:left="20"/>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Stock Unit Agreement, Performance Restricted Stock Unit Agreement, and Non-Employee Director Restricted Stock Unit Agreement</w:t>
              </w:r>
            </w:hyperlink>
          </w:p>
        </w:tc>
        <w:tc>
          <w:tcPr>
            <w:tcW w:w="300" w:type="dxa"/>
            <w:vAlign w:val="bottom"/>
            <w:gridSpan w:val="10"/>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00" w:type="dxa"/>
            <w:vAlign w:val="bottom"/>
            <w:tcBorders>
              <w:bottom w:val="single" w:sz="8" w:color="0000FF"/>
            </w:tcBorders>
            <w:gridSpan w:val="15"/>
          </w:tcPr>
          <w:p>
            <w:pPr>
              <w:ind w:left="20"/>
              <w:spacing w:after="0" w:line="196"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under the Amended and Restated 2017 Performance Incentive Plan.++</w:t>
              </w:r>
            </w:hyperlink>
          </w:p>
        </w:tc>
        <w:tc>
          <w:tcPr>
            <w:tcW w:w="4900" w:type="dxa"/>
            <w:vAlign w:val="bottom"/>
            <w:gridSpan w:val="27"/>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10.7(13)</w:t>
            </w:r>
          </w:p>
        </w:tc>
        <w:tc>
          <w:tcPr>
            <w:tcW w:w="100" w:type="dxa"/>
            <w:vAlign w:val="bottom"/>
          </w:tcPr>
          <w:p>
            <w:pPr>
              <w:spacing w:after="0"/>
              <w:rPr>
                <w:sz w:val="24"/>
                <w:szCs w:val="24"/>
                <w:color w:val="auto"/>
              </w:rPr>
            </w:pPr>
          </w:p>
        </w:tc>
        <w:tc>
          <w:tcPr>
            <w:tcW w:w="10000" w:type="dxa"/>
            <w:vAlign w:val="bottom"/>
            <w:gridSpan w:val="42"/>
          </w:tcPr>
          <w:p>
            <w:pPr>
              <w:ind w:left="20"/>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Employee Stock Purchase Plan, as amended and restated.++</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10.8(14)</w:t>
            </w:r>
          </w:p>
        </w:tc>
        <w:tc>
          <w:tcPr>
            <w:tcW w:w="100" w:type="dxa"/>
            <w:vAlign w:val="bottom"/>
          </w:tcPr>
          <w:p>
            <w:pPr>
              <w:spacing w:after="0"/>
              <w:rPr>
                <w:sz w:val="24"/>
                <w:szCs w:val="24"/>
                <w:color w:val="auto"/>
              </w:rPr>
            </w:pPr>
          </w:p>
        </w:tc>
        <w:tc>
          <w:tcPr>
            <w:tcW w:w="10000" w:type="dxa"/>
            <w:vAlign w:val="bottom"/>
            <w:gridSpan w:val="42"/>
          </w:tcPr>
          <w:p>
            <w:pPr>
              <w:ind w:left="20"/>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Amended and Restated Compensation Plan for Non-Employee Directors.++</w:t>
              </w:r>
            </w:hyperlink>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10.9(15)</w:t>
            </w:r>
          </w:p>
        </w:tc>
        <w:tc>
          <w:tcPr>
            <w:tcW w:w="100" w:type="dxa"/>
            <w:vAlign w:val="bottom"/>
          </w:tcPr>
          <w:p>
            <w:pPr>
              <w:spacing w:after="0"/>
              <w:rPr>
                <w:sz w:val="24"/>
                <w:szCs w:val="24"/>
                <w:color w:val="auto"/>
              </w:rPr>
            </w:pPr>
          </w:p>
        </w:tc>
        <w:tc>
          <w:tcPr>
            <w:tcW w:w="5480" w:type="dxa"/>
            <w:vAlign w:val="bottom"/>
            <w:tcBorders>
              <w:top w:val="single" w:sz="8" w:color="0000FF"/>
            </w:tcBorders>
            <w:gridSpan w:val="16"/>
          </w:tcPr>
          <w:p>
            <w:pPr>
              <w:ind w:left="20"/>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401(k) Retirement Plan.++</w:t>
              </w:r>
            </w:hyperlink>
          </w:p>
        </w:tc>
        <w:tc>
          <w:tcPr>
            <w:tcW w:w="4520" w:type="dxa"/>
            <w:vAlign w:val="bottom"/>
            <w:gridSpan w:val="26"/>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10.10(16)</w:t>
            </w:r>
          </w:p>
        </w:tc>
        <w:tc>
          <w:tcPr>
            <w:tcW w:w="100" w:type="dxa"/>
            <w:vAlign w:val="bottom"/>
          </w:tcPr>
          <w:p>
            <w:pPr>
              <w:spacing w:after="0"/>
              <w:rPr>
                <w:sz w:val="24"/>
                <w:szCs w:val="24"/>
                <w:color w:val="auto"/>
              </w:rPr>
            </w:pPr>
          </w:p>
        </w:tc>
        <w:tc>
          <w:tcPr>
            <w:tcW w:w="10000" w:type="dxa"/>
            <w:vAlign w:val="bottom"/>
            <w:gridSpan w:val="42"/>
          </w:tcPr>
          <w:p>
            <w:pPr>
              <w:ind w:left="20"/>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Form of Severance Letter for executive officers of the company.++</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10.11(1)</w:t>
            </w:r>
          </w:p>
        </w:tc>
        <w:tc>
          <w:tcPr>
            <w:tcW w:w="100" w:type="dxa"/>
            <w:vAlign w:val="bottom"/>
          </w:tcPr>
          <w:p>
            <w:pPr>
              <w:spacing w:after="0"/>
              <w:rPr>
                <w:sz w:val="24"/>
                <w:szCs w:val="24"/>
                <w:color w:val="auto"/>
              </w:rPr>
            </w:pPr>
          </w:p>
        </w:tc>
        <w:tc>
          <w:tcPr>
            <w:tcW w:w="10000" w:type="dxa"/>
            <w:vAlign w:val="bottom"/>
            <w:gridSpan w:val="42"/>
          </w:tcPr>
          <w:p>
            <w:pPr>
              <w:ind w:left="20"/>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Amended and Restated Letter Agreement, executed effective on December 1, 2008, with Howard W. Robin.++</w:t>
              </w:r>
            </w:hyperlink>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10.12(1)</w:t>
            </w:r>
          </w:p>
        </w:tc>
        <w:tc>
          <w:tcPr>
            <w:tcW w:w="100" w:type="dxa"/>
            <w:vAlign w:val="bottom"/>
          </w:tcPr>
          <w:p>
            <w:pPr>
              <w:spacing w:after="0"/>
              <w:rPr>
                <w:sz w:val="24"/>
                <w:szCs w:val="24"/>
                <w:color w:val="auto"/>
              </w:rPr>
            </w:pPr>
          </w:p>
        </w:tc>
        <w:tc>
          <w:tcPr>
            <w:tcW w:w="8020" w:type="dxa"/>
            <w:vAlign w:val="bottom"/>
            <w:tcBorders>
              <w:top w:val="single" w:sz="8" w:color="0000FF"/>
            </w:tcBorders>
            <w:gridSpan w:val="21"/>
          </w:tcPr>
          <w:p>
            <w:pPr>
              <w:ind w:left="20"/>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Amended and Restated Letter Agreement, executed effective on December 1, 2008, with John Nicholson.++</w:t>
              </w:r>
            </w:hyperlink>
          </w:p>
        </w:tc>
        <w:tc>
          <w:tcPr>
            <w:tcW w:w="1980" w:type="dxa"/>
            <w:vAlign w:val="bottom"/>
            <w:gridSpan w:val="21"/>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10.13(17)</w:t>
            </w:r>
          </w:p>
        </w:tc>
        <w:tc>
          <w:tcPr>
            <w:tcW w:w="100" w:type="dxa"/>
            <w:vAlign w:val="bottom"/>
          </w:tcPr>
          <w:p>
            <w:pPr>
              <w:spacing w:after="0"/>
              <w:rPr>
                <w:sz w:val="24"/>
                <w:szCs w:val="24"/>
                <w:color w:val="auto"/>
              </w:rPr>
            </w:pPr>
          </w:p>
        </w:tc>
        <w:tc>
          <w:tcPr>
            <w:tcW w:w="7820" w:type="dxa"/>
            <w:vAlign w:val="bottom"/>
            <w:tcBorders>
              <w:top w:val="single" w:sz="8" w:color="0000FF"/>
            </w:tcBorders>
            <w:gridSpan w:val="20"/>
          </w:tcPr>
          <w:p>
            <w:pPr>
              <w:ind w:left="20"/>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Letter Agreement, executed effective on December 10, 2009, with Stephen K. Doberstein, Ph.D.++</w:t>
              </w:r>
            </w:hyperlink>
          </w:p>
        </w:tc>
        <w:tc>
          <w:tcPr>
            <w:tcW w:w="2180" w:type="dxa"/>
            <w:vAlign w:val="bottom"/>
            <w:gridSpan w:val="22"/>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10.14(28)</w:t>
            </w:r>
          </w:p>
        </w:tc>
        <w:tc>
          <w:tcPr>
            <w:tcW w:w="100" w:type="dxa"/>
            <w:vAlign w:val="bottom"/>
          </w:tcPr>
          <w:p>
            <w:pPr>
              <w:spacing w:after="0"/>
              <w:rPr>
                <w:sz w:val="24"/>
                <w:szCs w:val="24"/>
                <w:color w:val="auto"/>
              </w:rPr>
            </w:pPr>
          </w:p>
        </w:tc>
        <w:tc>
          <w:tcPr>
            <w:tcW w:w="9820" w:type="dxa"/>
            <w:vAlign w:val="bottom"/>
            <w:tcBorders>
              <w:bottom w:val="single" w:sz="8" w:color="0000FF"/>
            </w:tcBorders>
            <w:gridSpan w:val="36"/>
          </w:tcPr>
          <w:p>
            <w:pPr>
              <w:ind w:left="20"/>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Transition, Separation and General Release Agreement, dated as of January 9, 2020, by and between Stephen K. Doberstein and Nektar</w:t>
              </w:r>
            </w:hyperlink>
          </w:p>
        </w:tc>
        <w:tc>
          <w:tcPr>
            <w:tcW w:w="18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0000FF"/>
            </w:tcBorders>
            <w:gridSpan w:val="4"/>
          </w:tcPr>
          <w:p>
            <w:pPr>
              <w:ind w:left="20"/>
              <w:spacing w:after="0" w:line="196" w:lineRule="exact"/>
              <w:rPr>
                <w:rFonts w:ascii="Times New Roman" w:cs="Times New Roman" w:eastAsia="Times New Roman" w:hAnsi="Times New Roman"/>
                <w:sz w:val="18"/>
                <w:szCs w:val="18"/>
                <w:color w:val="0000FF"/>
                <w:w w:val="98"/>
              </w:rPr>
            </w:pPr>
            <w:hyperlink r:id="rId338">
              <w:r>
                <w:rPr>
                  <w:rFonts w:ascii="Times New Roman" w:cs="Times New Roman" w:eastAsia="Times New Roman" w:hAnsi="Times New Roman"/>
                  <w:sz w:val="18"/>
                  <w:szCs w:val="18"/>
                  <w:color w:val="0000FF"/>
                  <w:w w:val="98"/>
                </w:rPr>
                <w:t>Therapeutics. ++</w:t>
              </w:r>
            </w:hyperlink>
          </w:p>
        </w:tc>
        <w:tc>
          <w:tcPr>
            <w:tcW w:w="20" w:type="dxa"/>
            <w:vAlign w:val="bottom"/>
            <w:tcBorders>
              <w:bottom w:val="single" w:sz="8" w:color="0000EE"/>
            </w:tcBorders>
          </w:tcPr>
          <w:p>
            <w:pPr>
              <w:spacing w:after="0"/>
              <w:rPr>
                <w:sz w:val="17"/>
                <w:szCs w:val="17"/>
                <w:color w:val="auto"/>
              </w:rPr>
            </w:pPr>
          </w:p>
        </w:tc>
        <w:tc>
          <w:tcPr>
            <w:tcW w:w="8740" w:type="dxa"/>
            <w:vAlign w:val="bottom"/>
            <w:gridSpan w:val="37"/>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10.15(19)</w:t>
            </w:r>
          </w:p>
        </w:tc>
        <w:tc>
          <w:tcPr>
            <w:tcW w:w="100" w:type="dxa"/>
            <w:vAlign w:val="bottom"/>
          </w:tcPr>
          <w:p>
            <w:pPr>
              <w:spacing w:after="0"/>
              <w:rPr>
                <w:sz w:val="24"/>
                <w:szCs w:val="24"/>
                <w:color w:val="auto"/>
              </w:rPr>
            </w:pPr>
          </w:p>
        </w:tc>
        <w:tc>
          <w:tcPr>
            <w:tcW w:w="9860" w:type="dxa"/>
            <w:vAlign w:val="bottom"/>
            <w:tcBorders>
              <w:bottom w:val="single" w:sz="8" w:color="0000FF"/>
            </w:tcBorders>
            <w:gridSpan w:val="37"/>
          </w:tcPr>
          <w:p>
            <w:pPr>
              <w:ind w:left="20"/>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Separation, Consulting and General Release Agreement effective as of October 15, 2019, by and between Nektar Therapeutics and John</w:t>
              </w:r>
            </w:hyperlink>
          </w:p>
        </w:tc>
        <w:tc>
          <w:tcPr>
            <w:tcW w:w="14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0000FF"/>
            </w:tcBorders>
            <w:gridSpan w:val="2"/>
          </w:tcPr>
          <w:p>
            <w:pPr>
              <w:ind w:left="20"/>
              <w:spacing w:after="0" w:line="196" w:lineRule="exact"/>
              <w:rPr>
                <w:rFonts w:ascii="Times New Roman" w:cs="Times New Roman" w:eastAsia="Times New Roman" w:hAnsi="Times New Roman"/>
                <w:sz w:val="18"/>
                <w:szCs w:val="18"/>
                <w:color w:val="0000FF"/>
                <w:w w:val="97"/>
              </w:rPr>
            </w:pPr>
            <w:hyperlink r:id="rId339">
              <w:r>
                <w:rPr>
                  <w:rFonts w:ascii="Times New Roman" w:cs="Times New Roman" w:eastAsia="Times New Roman" w:hAnsi="Times New Roman"/>
                  <w:sz w:val="18"/>
                  <w:szCs w:val="18"/>
                  <w:color w:val="0000FF"/>
                  <w:w w:val="97"/>
                </w:rPr>
                <w:t>Nicholson.++</w:t>
              </w:r>
            </w:hyperlink>
          </w:p>
        </w:tc>
        <w:tc>
          <w:tcPr>
            <w:tcW w:w="20" w:type="dxa"/>
            <w:vAlign w:val="bottom"/>
            <w:tcBorders>
              <w:bottom w:val="single" w:sz="8" w:color="0000EE"/>
            </w:tcBorders>
          </w:tcPr>
          <w:p>
            <w:pPr>
              <w:spacing w:after="0"/>
              <w:rPr>
                <w:sz w:val="17"/>
                <w:szCs w:val="17"/>
                <w:color w:val="auto"/>
              </w:rPr>
            </w:pPr>
          </w:p>
        </w:tc>
        <w:tc>
          <w:tcPr>
            <w:tcW w:w="8980" w:type="dxa"/>
            <w:vAlign w:val="bottom"/>
            <w:gridSpan w:val="39"/>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10.16(28)</w:t>
            </w:r>
          </w:p>
        </w:tc>
        <w:tc>
          <w:tcPr>
            <w:tcW w:w="100" w:type="dxa"/>
            <w:vAlign w:val="bottom"/>
          </w:tcPr>
          <w:p>
            <w:pPr>
              <w:spacing w:after="0"/>
              <w:rPr>
                <w:sz w:val="24"/>
                <w:szCs w:val="24"/>
                <w:color w:val="auto"/>
              </w:rPr>
            </w:pPr>
          </w:p>
        </w:tc>
        <w:tc>
          <w:tcPr>
            <w:tcW w:w="8620" w:type="dxa"/>
            <w:vAlign w:val="bottom"/>
            <w:tcBorders>
              <w:bottom w:val="single" w:sz="8" w:color="0000FF"/>
            </w:tcBorders>
            <w:gridSpan w:val="27"/>
          </w:tcPr>
          <w:p>
            <w:pPr>
              <w:ind w:left="20"/>
              <w:spacing w:after="0"/>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Employment Agreement effective as of December 4, 2019, by and between Nektar Therapeutics and John Northcott.++</w:t>
              </w:r>
            </w:hyperlink>
          </w:p>
        </w:tc>
        <w:tc>
          <w:tcPr>
            <w:tcW w:w="20" w:type="dxa"/>
            <w:vAlign w:val="bottom"/>
            <w:tcBorders>
              <w:bottom w:val="single" w:sz="8" w:color="0000EE"/>
            </w:tcBorders>
          </w:tcPr>
          <w:p>
            <w:pPr>
              <w:spacing w:after="0"/>
              <w:rPr>
                <w:sz w:val="24"/>
                <w:szCs w:val="24"/>
                <w:color w:val="auto"/>
              </w:rPr>
            </w:pPr>
          </w:p>
        </w:tc>
        <w:tc>
          <w:tcPr>
            <w:tcW w:w="1360" w:type="dxa"/>
            <w:vAlign w:val="bottom"/>
            <w:gridSpan w:val="14"/>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10.17(16)</w:t>
            </w:r>
          </w:p>
        </w:tc>
        <w:tc>
          <w:tcPr>
            <w:tcW w:w="100" w:type="dxa"/>
            <w:vAlign w:val="bottom"/>
          </w:tcPr>
          <w:p>
            <w:pPr>
              <w:spacing w:after="0"/>
              <w:rPr>
                <w:sz w:val="24"/>
                <w:szCs w:val="24"/>
                <w:color w:val="auto"/>
              </w:rPr>
            </w:pPr>
          </w:p>
        </w:tc>
        <w:tc>
          <w:tcPr>
            <w:tcW w:w="9880" w:type="dxa"/>
            <w:vAlign w:val="bottom"/>
            <w:tcBorders>
              <w:bottom w:val="single" w:sz="8" w:color="0000FF"/>
            </w:tcBorders>
            <w:gridSpan w:val="38"/>
          </w:tcPr>
          <w:p>
            <w:pPr>
              <w:ind w:left="20"/>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Amended and Restated Built-to-Suit Lease between Nektar Therapeutics and BMR-201 Industrial Road LLC, dated August 17, 2004, as</w:t>
              </w:r>
            </w:hyperlink>
          </w:p>
        </w:tc>
        <w:tc>
          <w:tcPr>
            <w:tcW w:w="12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Borders>
              <w:bottom w:val="single" w:sz="8" w:color="0000FF"/>
            </w:tcBorders>
            <w:gridSpan w:val="10"/>
          </w:tcPr>
          <w:p>
            <w:pPr>
              <w:ind w:left="20"/>
              <w:spacing w:after="0" w:line="196"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amended on January 11, 2005 and July 19, 2007.</w:t>
              </w:r>
            </w:hyperlink>
          </w:p>
        </w:tc>
        <w:tc>
          <w:tcPr>
            <w:tcW w:w="20" w:type="dxa"/>
            <w:vAlign w:val="bottom"/>
            <w:tcBorders>
              <w:bottom w:val="single" w:sz="8" w:color="0000EE"/>
            </w:tcBorders>
          </w:tcPr>
          <w:p>
            <w:pPr>
              <w:spacing w:after="0"/>
              <w:rPr>
                <w:sz w:val="17"/>
                <w:szCs w:val="17"/>
                <w:color w:val="auto"/>
              </w:rPr>
            </w:pPr>
          </w:p>
        </w:tc>
        <w:tc>
          <w:tcPr>
            <w:tcW w:w="6440" w:type="dxa"/>
            <w:vAlign w:val="bottom"/>
            <w:gridSpan w:val="31"/>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10.18(18)</w:t>
            </w:r>
          </w:p>
        </w:tc>
        <w:tc>
          <w:tcPr>
            <w:tcW w:w="100" w:type="dxa"/>
            <w:vAlign w:val="bottom"/>
          </w:tcPr>
          <w:p>
            <w:pPr>
              <w:spacing w:after="0"/>
              <w:rPr>
                <w:sz w:val="24"/>
                <w:szCs w:val="24"/>
                <w:color w:val="auto"/>
              </w:rPr>
            </w:pPr>
          </w:p>
        </w:tc>
        <w:tc>
          <w:tcPr>
            <w:tcW w:w="10000" w:type="dxa"/>
            <w:vAlign w:val="bottom"/>
            <w:gridSpan w:val="42"/>
          </w:tcPr>
          <w:p>
            <w:pPr>
              <w:ind w:left="20"/>
              <w:spacing w:after="0"/>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Lease Agreement dated August 4, 2017, as amended by the First Amendment to Lease dated as of August 29, 2017, by and between ARE-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FF"/>
            </w:tcBorders>
            <w:gridSpan w:val="41"/>
          </w:tcPr>
          <w:p>
            <w:pPr>
              <w:ind w:left="20"/>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San Francisco No. 19, LLC and Nektar Therapeutics.</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5"/>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10.19(20)</w:t>
            </w:r>
          </w:p>
        </w:tc>
        <w:tc>
          <w:tcPr>
            <w:tcW w:w="100" w:type="dxa"/>
            <w:vAlign w:val="bottom"/>
          </w:tcPr>
          <w:p>
            <w:pPr>
              <w:spacing w:after="0"/>
              <w:rPr>
                <w:sz w:val="24"/>
                <w:szCs w:val="24"/>
                <w:color w:val="auto"/>
              </w:rPr>
            </w:pPr>
          </w:p>
        </w:tc>
        <w:tc>
          <w:tcPr>
            <w:tcW w:w="9800" w:type="dxa"/>
            <w:vAlign w:val="bottom"/>
            <w:tcBorders>
              <w:bottom w:val="single" w:sz="8" w:color="0000FF"/>
            </w:tcBorders>
            <w:gridSpan w:val="35"/>
          </w:tcPr>
          <w:p>
            <w:pPr>
              <w:ind w:left="20"/>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Settlement Agreement and General Release, dated June 30, 2006, by and between The Board of Trustees of the University of Alabama,</w:t>
              </w:r>
            </w:hyperlink>
          </w:p>
        </w:tc>
        <w:tc>
          <w:tcPr>
            <w:tcW w:w="20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80" w:type="dxa"/>
            <w:vAlign w:val="bottom"/>
            <w:tcBorders>
              <w:bottom w:val="single" w:sz="8" w:color="0000FF"/>
            </w:tcBorders>
            <w:gridSpan w:val="31"/>
          </w:tcPr>
          <w:p>
            <w:pPr>
              <w:ind w:left="20"/>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The University of Alabama in Huntsville, Nektar Therapeutics AL, Corporation (a wholly-owned subsidiary of Nektar Therapeutics),</w:t>
              </w:r>
            </w:hyperlink>
          </w:p>
        </w:tc>
        <w:tc>
          <w:tcPr>
            <w:tcW w:w="320" w:type="dxa"/>
            <w:vAlign w:val="bottom"/>
            <w:gridSpan w:val="11"/>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Borders>
              <w:bottom w:val="single" w:sz="8" w:color="0000FF"/>
            </w:tcBorders>
            <w:gridSpan w:val="7"/>
          </w:tcPr>
          <w:p>
            <w:pPr>
              <w:ind w:left="20"/>
              <w:spacing w:after="0" w:line="196" w:lineRule="exact"/>
              <w:rPr>
                <w:rFonts w:ascii="Times New Roman" w:cs="Times New Roman" w:eastAsia="Times New Roman" w:hAnsi="Times New Roman"/>
                <w:sz w:val="18"/>
                <w:szCs w:val="18"/>
                <w:color w:val="0000FF"/>
                <w:w w:val="99"/>
              </w:rPr>
            </w:pPr>
            <w:hyperlink r:id="rId342">
              <w:r>
                <w:rPr>
                  <w:rFonts w:ascii="Times New Roman" w:cs="Times New Roman" w:eastAsia="Times New Roman" w:hAnsi="Times New Roman"/>
                  <w:sz w:val="18"/>
                  <w:szCs w:val="18"/>
                  <w:color w:val="0000FF"/>
                  <w:w w:val="99"/>
                </w:rPr>
                <w:t>Nektar Therapeutics and J. Milton Harris.</w:t>
              </w:r>
            </w:hyperlink>
          </w:p>
        </w:tc>
        <w:tc>
          <w:tcPr>
            <w:tcW w:w="20" w:type="dxa"/>
            <w:vAlign w:val="bottom"/>
            <w:tcBorders>
              <w:bottom w:val="single" w:sz="8" w:color="0000EE"/>
            </w:tcBorders>
          </w:tcPr>
          <w:p>
            <w:pPr>
              <w:spacing w:after="0"/>
              <w:rPr>
                <w:sz w:val="17"/>
                <w:szCs w:val="17"/>
                <w:color w:val="auto"/>
              </w:rPr>
            </w:pPr>
          </w:p>
        </w:tc>
        <w:tc>
          <w:tcPr>
            <w:tcW w:w="6960" w:type="dxa"/>
            <w:vAlign w:val="bottom"/>
            <w:gridSpan w:val="34"/>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tcPr>
          <w:p>
            <w:pPr>
              <w:spacing w:after="0"/>
              <w:rPr>
                <w:sz w:val="24"/>
                <w:szCs w:val="24"/>
                <w:color w:val="auto"/>
              </w:rPr>
            </w:pPr>
          </w:p>
        </w:tc>
        <w:tc>
          <w:tcPr>
            <w:tcW w:w="9720" w:type="dxa"/>
            <w:vAlign w:val="bottom"/>
            <w:tcBorders>
              <w:bottom w:val="single" w:sz="8" w:color="0000FF"/>
            </w:tcBorders>
            <w:gridSpan w:val="33"/>
          </w:tcPr>
          <w:p>
            <w:pPr>
              <w:ind w:left="20"/>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Exclusive Research, Development, License and Manufacturing and Supply Agreement, by and among Nektar AL Corporation, Baxter</w:t>
              </w:r>
            </w:hyperlink>
          </w:p>
        </w:tc>
        <w:tc>
          <w:tcPr>
            <w:tcW w:w="28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42"/>
          </w:tcPr>
          <w:p>
            <w:pPr>
              <w:ind w:left="20"/>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Healthcare SA, and Baxter Healthcare Corporation, dated September 26, 2005, as amended.+</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gridSpan w:val="5"/>
            <w:shd w:val="clear" w:color="auto" w:fill="0000FF"/>
          </w:tcPr>
          <w:p>
            <w:pPr>
              <w:spacing w:after="0" w:line="20" w:lineRule="exact"/>
              <w:rPr>
                <w:sz w:val="1"/>
                <w:szCs w:val="1"/>
                <w:color w:val="auto"/>
              </w:rPr>
            </w:pPr>
          </w:p>
        </w:tc>
        <w:tc>
          <w:tcPr>
            <w:tcW w:w="1140" w:type="dxa"/>
            <w:vAlign w:val="bottom"/>
            <w:tcBorders>
              <w:left w:val="single" w:sz="8" w:color="0000FF"/>
            </w:tcBorders>
            <w:gridSpan w:val="3"/>
            <w:shd w:val="clear" w:color="auto" w:fill="0000FF"/>
          </w:tcPr>
          <w:p>
            <w:pPr>
              <w:spacing w:after="0" w:line="20" w:lineRule="exact"/>
              <w:rPr>
                <w:sz w:val="1"/>
                <w:szCs w:val="1"/>
                <w:color w:val="auto"/>
              </w:rPr>
            </w:pPr>
          </w:p>
        </w:tc>
        <w:tc>
          <w:tcPr>
            <w:tcW w:w="3660" w:type="dxa"/>
            <w:vAlign w:val="bottom"/>
            <w:tcBorders>
              <w:right w:val="single" w:sz="8" w:color="0000EE"/>
            </w:tcBorders>
            <w:gridSpan w:val="8"/>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tcPr>
          <w:p>
            <w:pPr>
              <w:spacing w:after="0"/>
              <w:rPr>
                <w:sz w:val="24"/>
                <w:szCs w:val="24"/>
                <w:color w:val="auto"/>
              </w:rPr>
            </w:pPr>
          </w:p>
        </w:tc>
        <w:tc>
          <w:tcPr>
            <w:tcW w:w="9740" w:type="dxa"/>
            <w:vAlign w:val="bottom"/>
            <w:tcBorders>
              <w:bottom w:val="single" w:sz="8" w:color="0000FF"/>
            </w:tcBorders>
            <w:gridSpan w:val="34"/>
          </w:tcPr>
          <w:p>
            <w:pPr>
              <w:ind w:left="20"/>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Exclusive License Agreement, dated December 31, 2008, between Nektar Therapeutics, a Delaware corporation, and Novartis Pharma</w:t>
              </w:r>
            </w:hyperlink>
          </w:p>
        </w:tc>
        <w:tc>
          <w:tcPr>
            <w:tcW w:w="26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42"/>
          </w:tcPr>
          <w:p>
            <w:pPr>
              <w:ind w:left="20"/>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AG, a Swiss corporation.+</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gridSpan w:val="5"/>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10.22(17)</w:t>
            </w:r>
          </w:p>
        </w:tc>
        <w:tc>
          <w:tcPr>
            <w:tcW w:w="100" w:type="dxa"/>
            <w:vAlign w:val="bottom"/>
          </w:tcPr>
          <w:p>
            <w:pPr>
              <w:spacing w:after="0"/>
              <w:rPr>
                <w:sz w:val="24"/>
                <w:szCs w:val="24"/>
                <w:color w:val="auto"/>
              </w:rPr>
            </w:pPr>
          </w:p>
        </w:tc>
        <w:tc>
          <w:tcPr>
            <w:tcW w:w="9860" w:type="dxa"/>
            <w:vAlign w:val="bottom"/>
            <w:tcBorders>
              <w:bottom w:val="single" w:sz="8" w:color="0000FF"/>
            </w:tcBorders>
            <w:gridSpan w:val="37"/>
          </w:tcPr>
          <w:p>
            <w:pPr>
              <w:ind w:left="20"/>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Supply, Dedicated Suite and Manufacturing Guarantee Agreement, dated October 29, 2010, by and among Nektar Therapeutics, Amgen</w:t>
              </w:r>
            </w:hyperlink>
          </w:p>
        </w:tc>
        <w:tc>
          <w:tcPr>
            <w:tcW w:w="14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42"/>
          </w:tcPr>
          <w:p>
            <w:pPr>
              <w:ind w:left="20"/>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Inc. and Amgen Manufacturing, Limited.+</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8"/>
            <w:shd w:val="clear" w:color="auto" w:fill="0000FF"/>
          </w:tcPr>
          <w:p>
            <w:pPr>
              <w:spacing w:after="0" w:line="20" w:lineRule="exact"/>
              <w:rPr>
                <w:sz w:val="1"/>
                <w:szCs w:val="1"/>
                <w:color w:val="auto"/>
              </w:rPr>
            </w:pPr>
          </w:p>
        </w:tc>
        <w:tc>
          <w:tcPr>
            <w:tcW w:w="4700" w:type="dxa"/>
            <w:vAlign w:val="bottom"/>
            <w:gridSpan w:val="1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10.23(21)</w:t>
            </w:r>
          </w:p>
        </w:tc>
        <w:tc>
          <w:tcPr>
            <w:tcW w:w="100" w:type="dxa"/>
            <w:vAlign w:val="bottom"/>
          </w:tcPr>
          <w:p>
            <w:pPr>
              <w:spacing w:after="0"/>
              <w:rPr>
                <w:sz w:val="24"/>
                <w:szCs w:val="24"/>
                <w:color w:val="auto"/>
              </w:rPr>
            </w:pPr>
          </w:p>
        </w:tc>
        <w:tc>
          <w:tcPr>
            <w:tcW w:w="10000" w:type="dxa"/>
            <w:vAlign w:val="bottom"/>
            <w:gridSpan w:val="42"/>
          </w:tcPr>
          <w:p>
            <w:pPr>
              <w:ind w:left="20"/>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License Agreement by and between AstraZeneca AB and Nektar Therapeutics, dated September 20, 2009.+</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360" w:type="dxa"/>
            <w:vAlign w:val="bottom"/>
            <w:tcBorders>
              <w:right w:val="single" w:sz="8" w:color="0000EE"/>
            </w:tcBorders>
            <w:gridSpan w:val="18"/>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10.24(22)</w:t>
            </w:r>
          </w:p>
        </w:tc>
        <w:tc>
          <w:tcPr>
            <w:tcW w:w="100" w:type="dxa"/>
            <w:vAlign w:val="bottom"/>
          </w:tcPr>
          <w:p>
            <w:pPr>
              <w:spacing w:after="0"/>
              <w:rPr>
                <w:sz w:val="24"/>
                <w:szCs w:val="24"/>
                <w:color w:val="auto"/>
              </w:rPr>
            </w:pPr>
          </w:p>
        </w:tc>
        <w:tc>
          <w:tcPr>
            <w:tcW w:w="10000" w:type="dxa"/>
            <w:vAlign w:val="bottom"/>
            <w:gridSpan w:val="42"/>
          </w:tcPr>
          <w:p>
            <w:pPr>
              <w:ind w:left="20"/>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Collaboration and License Agreement dated as of May 30, 2016, by and between Daiichi Sankyo Europe GmbH and Nektar Therapeutics.</w:t>
              </w:r>
            </w:hyperlink>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10.25(18)</w:t>
            </w:r>
          </w:p>
        </w:tc>
        <w:tc>
          <w:tcPr>
            <w:tcW w:w="100" w:type="dxa"/>
            <w:vAlign w:val="bottom"/>
          </w:tcPr>
          <w:p>
            <w:pPr>
              <w:spacing w:after="0"/>
              <w:rPr>
                <w:sz w:val="24"/>
                <w:szCs w:val="24"/>
                <w:color w:val="auto"/>
              </w:rPr>
            </w:pPr>
          </w:p>
        </w:tc>
        <w:tc>
          <w:tcPr>
            <w:tcW w:w="8500" w:type="dxa"/>
            <w:vAlign w:val="bottom"/>
            <w:tcBorders>
              <w:top w:val="single" w:sz="8" w:color="0000FF"/>
              <w:bottom w:val="single" w:sz="8" w:color="0000FF"/>
            </w:tcBorders>
            <w:gridSpan w:val="25"/>
          </w:tcPr>
          <w:p>
            <w:pPr>
              <w:ind w:left="20"/>
              <w:spacing w:after="0"/>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License Agreement effective as of August 23, 2017, by and between Eli Lilly and Company and Nektar Therapeutics.</w:t>
              </w:r>
            </w:hyperlink>
          </w:p>
        </w:tc>
        <w:tc>
          <w:tcPr>
            <w:tcW w:w="20" w:type="dxa"/>
            <w:vAlign w:val="bottom"/>
            <w:tcBorders>
              <w:top w:val="single" w:sz="8" w:color="0000FF"/>
              <w:bottom w:val="single" w:sz="8" w:color="0000EE"/>
            </w:tcBorders>
          </w:tcPr>
          <w:p>
            <w:pPr>
              <w:spacing w:after="0"/>
              <w:rPr>
                <w:sz w:val="24"/>
                <w:szCs w:val="24"/>
                <w:color w:val="auto"/>
              </w:rPr>
            </w:pPr>
          </w:p>
        </w:tc>
        <w:tc>
          <w:tcPr>
            <w:tcW w:w="1440" w:type="dxa"/>
            <w:vAlign w:val="bottom"/>
            <w:tcBorders>
              <w:top w:val="single" w:sz="8" w:color="0000FF"/>
            </w:tcBorders>
            <w:gridSpan w:val="14"/>
          </w:tcPr>
          <w:p>
            <w:pPr>
              <w:spacing w:after="0"/>
              <w:rPr>
                <w:sz w:val="24"/>
                <w:szCs w:val="24"/>
                <w:color w:val="auto"/>
              </w:rPr>
            </w:pPr>
          </w:p>
        </w:tc>
        <w:tc>
          <w:tcPr>
            <w:tcW w:w="40" w:type="dxa"/>
            <w:vAlign w:val="bottom"/>
            <w:gridSpan w:val="2"/>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10.26(7)</w:t>
            </w:r>
          </w:p>
        </w:tc>
        <w:tc>
          <w:tcPr>
            <w:tcW w:w="100" w:type="dxa"/>
            <w:vAlign w:val="bottom"/>
          </w:tcPr>
          <w:p>
            <w:pPr>
              <w:spacing w:after="0"/>
              <w:rPr>
                <w:sz w:val="24"/>
                <w:szCs w:val="24"/>
                <w:color w:val="auto"/>
              </w:rPr>
            </w:pPr>
          </w:p>
        </w:tc>
        <w:tc>
          <w:tcPr>
            <w:tcW w:w="10000" w:type="dxa"/>
            <w:vAlign w:val="bottom"/>
            <w:gridSpan w:val="42"/>
          </w:tcPr>
          <w:p>
            <w:pPr>
              <w:ind w:left="20"/>
              <w:spacing w:after="0"/>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Purchase Agreement dated September 30, 2015 by and among Nektar Therapeutics and TC Lending, LLC and TAO Fund, LLC.</w:t>
              </w:r>
            </w:hyperlink>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10.27(7)</w:t>
            </w:r>
          </w:p>
        </w:tc>
        <w:tc>
          <w:tcPr>
            <w:tcW w:w="100" w:type="dxa"/>
            <w:vAlign w:val="bottom"/>
          </w:tcPr>
          <w:p>
            <w:pPr>
              <w:spacing w:after="0"/>
              <w:rPr>
                <w:sz w:val="24"/>
                <w:szCs w:val="24"/>
                <w:color w:val="auto"/>
              </w:rPr>
            </w:pPr>
          </w:p>
        </w:tc>
        <w:tc>
          <w:tcPr>
            <w:tcW w:w="9260" w:type="dxa"/>
            <w:vAlign w:val="bottom"/>
            <w:tcBorders>
              <w:top w:val="single" w:sz="8" w:color="0000FF"/>
            </w:tcBorders>
            <w:gridSpan w:val="29"/>
          </w:tcPr>
          <w:p>
            <w:pPr>
              <w:ind w:left="20"/>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Pledge and Security Agreement dated October 5, 2015 by and among Nektar Therapeutics and TC Lending, LLC.</w:t>
              </w:r>
            </w:hyperlink>
          </w:p>
        </w:tc>
        <w:tc>
          <w:tcPr>
            <w:tcW w:w="740" w:type="dxa"/>
            <w:vAlign w:val="bottom"/>
            <w:gridSpan w:val="13"/>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800" w:type="dxa"/>
            <w:vAlign w:val="bottom"/>
            <w:tcBorders>
              <w:right w:val="single" w:sz="8" w:color="0000EE"/>
            </w:tcBorders>
            <w:gridSpan w:val="21"/>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10.28(23)</w:t>
            </w:r>
          </w:p>
        </w:tc>
        <w:tc>
          <w:tcPr>
            <w:tcW w:w="100" w:type="dxa"/>
            <w:vAlign w:val="bottom"/>
          </w:tcPr>
          <w:p>
            <w:pPr>
              <w:spacing w:after="0"/>
              <w:rPr>
                <w:sz w:val="24"/>
                <w:szCs w:val="24"/>
                <w:color w:val="auto"/>
              </w:rPr>
            </w:pPr>
          </w:p>
        </w:tc>
        <w:tc>
          <w:tcPr>
            <w:tcW w:w="8420" w:type="dxa"/>
            <w:vAlign w:val="bottom"/>
            <w:tcBorders>
              <w:bottom w:val="single" w:sz="8" w:color="0000FF"/>
            </w:tcBorders>
            <w:gridSpan w:val="23"/>
          </w:tcPr>
          <w:p>
            <w:pPr>
              <w:ind w:left="20"/>
              <w:spacing w:after="0"/>
              <w:rPr>
                <w:rFonts w:ascii="Times New Roman" w:cs="Times New Roman" w:eastAsia="Times New Roman" w:hAnsi="Times New Roman"/>
                <w:sz w:val="18"/>
                <w:szCs w:val="18"/>
                <w:color w:val="0000FF"/>
                <w:w w:val="99"/>
              </w:rPr>
            </w:pPr>
            <w:hyperlink r:id="rId351">
              <w:r>
                <w:rPr>
                  <w:rFonts w:ascii="Times New Roman" w:cs="Times New Roman" w:eastAsia="Times New Roman" w:hAnsi="Times New Roman"/>
                  <w:sz w:val="18"/>
                  <w:szCs w:val="18"/>
                  <w:color w:val="0000FF"/>
                  <w:w w:val="99"/>
                </w:rPr>
                <w:t>Purchase and Sale Agreement, dated as of February 24, 2012, between Nektar Therapeutics and RPI Finance Trust.+</w:t>
              </w:r>
            </w:hyperlink>
          </w:p>
        </w:tc>
        <w:tc>
          <w:tcPr>
            <w:tcW w:w="20" w:type="dxa"/>
            <w:vAlign w:val="bottom"/>
            <w:tcBorders>
              <w:bottom w:val="single" w:sz="8" w:color="0000EE"/>
            </w:tcBorders>
          </w:tcPr>
          <w:p>
            <w:pPr>
              <w:spacing w:after="0"/>
              <w:rPr>
                <w:sz w:val="24"/>
                <w:szCs w:val="24"/>
                <w:color w:val="auto"/>
              </w:rPr>
            </w:pPr>
          </w:p>
        </w:tc>
        <w:tc>
          <w:tcPr>
            <w:tcW w:w="1560" w:type="dxa"/>
            <w:vAlign w:val="bottom"/>
            <w:gridSpan w:val="18"/>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10.29(24)</w:t>
            </w:r>
          </w:p>
        </w:tc>
        <w:tc>
          <w:tcPr>
            <w:tcW w:w="100" w:type="dxa"/>
            <w:vAlign w:val="bottom"/>
          </w:tcPr>
          <w:p>
            <w:pPr>
              <w:spacing w:after="0"/>
              <w:rPr>
                <w:sz w:val="24"/>
                <w:szCs w:val="24"/>
                <w:color w:val="auto"/>
              </w:rPr>
            </w:pPr>
          </w:p>
        </w:tc>
        <w:tc>
          <w:tcPr>
            <w:tcW w:w="9660" w:type="dxa"/>
            <w:vAlign w:val="bottom"/>
            <w:tcBorders>
              <w:bottom w:val="single" w:sz="8" w:color="0000FF"/>
            </w:tcBorders>
            <w:gridSpan w:val="30"/>
          </w:tcPr>
          <w:p>
            <w:pPr>
              <w:ind w:left="20"/>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Amendment No. 1 to License Agreement dated effective as of August 8, 2013, by and between Nektar Therapeutics and AstraZeneca</w:t>
              </w:r>
            </w:hyperlink>
          </w:p>
        </w:tc>
        <w:tc>
          <w:tcPr>
            <w:tcW w:w="34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42"/>
          </w:tcPr>
          <w:p>
            <w:pPr>
              <w:ind w:left="20"/>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AB.+</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740" w:type="dxa"/>
            <w:vAlign w:val="bottom"/>
            <w:tcBorders>
              <w:bottom w:val="single" w:sz="8" w:color="auto"/>
            </w:tcBorders>
            <w:gridSpan w:val="18"/>
          </w:tcPr>
          <w:p>
            <w:pPr>
              <w:ind w:left="760"/>
              <w:spacing w:after="0"/>
              <w:rPr>
                <w:sz w:val="20"/>
                <w:szCs w:val="20"/>
                <w:color w:val="auto"/>
              </w:rPr>
            </w:pPr>
            <w:r>
              <w:rPr>
                <w:rFonts w:ascii="Times New Roman" w:cs="Times New Roman" w:eastAsia="Times New Roman" w:hAnsi="Times New Roman"/>
                <w:sz w:val="18"/>
                <w:szCs w:val="18"/>
                <w:b w:val="1"/>
                <w:bCs w:val="1"/>
                <w:color w:val="auto"/>
              </w:rPr>
              <w:t>Description of Documents</w:t>
            </w:r>
          </w:p>
        </w:tc>
      </w:tr>
      <w:tr>
        <w:trPr>
          <w:trHeight w:val="2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10.30(25)</w:t>
            </w:r>
          </w:p>
        </w:tc>
        <w:tc>
          <w:tcPr>
            <w:tcW w:w="100" w:type="dxa"/>
            <w:vAlign w:val="bottom"/>
          </w:tcPr>
          <w:p>
            <w:pPr>
              <w:spacing w:after="0"/>
              <w:rPr>
                <w:sz w:val="24"/>
                <w:szCs w:val="24"/>
                <w:color w:val="auto"/>
              </w:rPr>
            </w:pPr>
          </w:p>
        </w:tc>
        <w:tc>
          <w:tcPr>
            <w:tcW w:w="10000" w:type="dxa"/>
            <w:vAlign w:val="bottom"/>
            <w:gridSpan w:val="30"/>
          </w:tcPr>
          <w:p>
            <w:pPr>
              <w:ind w:left="20"/>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Investor Agreement, dated as of February 13, 2018, by and between Bristol-Myers Squibb and Company and Nektar Therapeutics.+</w:t>
              </w:r>
            </w:hyperlink>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10.31(25)</w:t>
            </w:r>
          </w:p>
        </w:tc>
        <w:tc>
          <w:tcPr>
            <w:tcW w:w="100" w:type="dxa"/>
            <w:vAlign w:val="bottom"/>
          </w:tcPr>
          <w:p>
            <w:pPr>
              <w:spacing w:after="0"/>
              <w:rPr>
                <w:sz w:val="24"/>
                <w:szCs w:val="24"/>
                <w:color w:val="auto"/>
              </w:rPr>
            </w:pPr>
          </w:p>
        </w:tc>
        <w:tc>
          <w:tcPr>
            <w:tcW w:w="9520" w:type="dxa"/>
            <w:vAlign w:val="bottom"/>
            <w:tcBorders>
              <w:top w:val="single" w:sz="8" w:color="0000FF"/>
              <w:bottom w:val="single" w:sz="8" w:color="0000FF"/>
            </w:tcBorders>
            <w:gridSpan w:val="24"/>
          </w:tcPr>
          <w:p>
            <w:pPr>
              <w:ind w:left="20"/>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Strategic Collaboration Agreement, dated as of February 13, 2018, by and between Bristol-Myers Squibb and Company and Nektar</w:t>
              </w:r>
            </w:hyperlink>
          </w:p>
        </w:tc>
        <w:tc>
          <w:tcPr>
            <w:tcW w:w="48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0"/>
          </w:tcPr>
          <w:p>
            <w:pPr>
              <w:ind w:left="20"/>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Therapeutics.+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10.32(29)</w:t>
            </w:r>
          </w:p>
        </w:tc>
        <w:tc>
          <w:tcPr>
            <w:tcW w:w="100" w:type="dxa"/>
            <w:vAlign w:val="bottom"/>
          </w:tcPr>
          <w:p>
            <w:pPr>
              <w:spacing w:after="0"/>
              <w:rPr>
                <w:sz w:val="24"/>
                <w:szCs w:val="24"/>
                <w:color w:val="auto"/>
              </w:rPr>
            </w:pPr>
          </w:p>
        </w:tc>
        <w:tc>
          <w:tcPr>
            <w:tcW w:w="9740" w:type="dxa"/>
            <w:vAlign w:val="bottom"/>
            <w:tcBorders>
              <w:bottom w:val="single" w:sz="8" w:color="0000FF"/>
            </w:tcBorders>
            <w:gridSpan w:val="26"/>
          </w:tcPr>
          <w:p>
            <w:pPr>
              <w:ind w:left="20"/>
              <w:spacing w:after="0"/>
              <w:rPr>
                <w:rFonts w:ascii="Times New Roman" w:cs="Times New Roman" w:eastAsia="Times New Roman" w:hAnsi="Times New Roman"/>
                <w:sz w:val="18"/>
                <w:szCs w:val="18"/>
                <w:color w:val="0000FF"/>
                <w:w w:val="99"/>
              </w:rPr>
            </w:pPr>
            <w:hyperlink r:id="rId356">
              <w:r>
                <w:rPr>
                  <w:rFonts w:ascii="Times New Roman" w:cs="Times New Roman" w:eastAsia="Times New Roman" w:hAnsi="Times New Roman"/>
                  <w:sz w:val="18"/>
                  <w:szCs w:val="18"/>
                  <w:color w:val="0000FF"/>
                  <w:w w:val="99"/>
                </w:rPr>
                <w:t>Co-Development Agreement, dated as of February 12, 2021, by and between SFJ Pharmaceuticals XII, L.P. and Nektar Therapeutics.+</w:t>
              </w:r>
            </w:hyperlink>
          </w:p>
        </w:tc>
        <w:tc>
          <w:tcPr>
            <w:tcW w:w="20" w:type="dxa"/>
            <w:vAlign w:val="bottom"/>
            <w:tcBorders>
              <w:bottom w:val="single" w:sz="8" w:color="0000EE"/>
            </w:tcBorders>
          </w:tcPr>
          <w:p>
            <w:pPr>
              <w:spacing w:after="0"/>
              <w:rPr>
                <w:sz w:val="24"/>
                <w:szCs w:val="24"/>
                <w:color w:val="auto"/>
              </w:rPr>
            </w:pPr>
          </w:p>
        </w:tc>
        <w:tc>
          <w:tcPr>
            <w:tcW w:w="240" w:type="dxa"/>
            <w:vAlign w:val="bottom"/>
            <w:gridSpan w:val="3"/>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10.33(28)</w:t>
            </w:r>
          </w:p>
        </w:tc>
        <w:tc>
          <w:tcPr>
            <w:tcW w:w="100" w:type="dxa"/>
            <w:vAlign w:val="bottom"/>
          </w:tcPr>
          <w:p>
            <w:pPr>
              <w:spacing w:after="0"/>
              <w:rPr>
                <w:sz w:val="24"/>
                <w:szCs w:val="24"/>
                <w:color w:val="auto"/>
              </w:rPr>
            </w:pPr>
          </w:p>
        </w:tc>
        <w:tc>
          <w:tcPr>
            <w:tcW w:w="10000" w:type="dxa"/>
            <w:vAlign w:val="bottom"/>
            <w:tcBorders>
              <w:bottom w:val="single" w:sz="8" w:color="0000FF"/>
            </w:tcBorders>
            <w:gridSpan w:val="30"/>
          </w:tcPr>
          <w:p>
            <w:pPr>
              <w:ind w:left="20"/>
              <w:spacing w:after="0"/>
              <w:rPr>
                <w:rFonts w:ascii="Times New Roman" w:cs="Times New Roman" w:eastAsia="Times New Roman" w:hAnsi="Times New Roman"/>
                <w:sz w:val="18"/>
                <w:szCs w:val="18"/>
                <w:color w:val="0000FF"/>
                <w:w w:val="99"/>
              </w:rPr>
            </w:pPr>
            <w:hyperlink r:id="rId357">
              <w:r>
                <w:rPr>
                  <w:rFonts w:ascii="Times New Roman" w:cs="Times New Roman" w:eastAsia="Times New Roman" w:hAnsi="Times New Roman"/>
                  <w:sz w:val="18"/>
                  <w:szCs w:val="18"/>
                  <w:color w:val="0000FF"/>
                  <w:w w:val="99"/>
                </w:rPr>
                <w:t>Amendment No. 1 to Strategic Collaboration Agreement dated as of January 9, 2020, by and between Bristol-Myers Squibb and Company</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0"/>
          </w:tcPr>
          <w:p>
            <w:pPr>
              <w:ind w:left="20"/>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and Nektar Therapeutics.+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10.34(26)</w:t>
            </w:r>
          </w:p>
        </w:tc>
        <w:tc>
          <w:tcPr>
            <w:tcW w:w="100" w:type="dxa"/>
            <w:vAlign w:val="bottom"/>
          </w:tcPr>
          <w:p>
            <w:pPr>
              <w:spacing w:after="0"/>
              <w:rPr>
                <w:sz w:val="24"/>
                <w:szCs w:val="24"/>
                <w:color w:val="auto"/>
              </w:rPr>
            </w:pPr>
          </w:p>
        </w:tc>
        <w:tc>
          <w:tcPr>
            <w:tcW w:w="9940" w:type="dxa"/>
            <w:vAlign w:val="bottom"/>
            <w:tcBorders>
              <w:bottom w:val="single" w:sz="8" w:color="0000FF"/>
            </w:tcBorders>
            <w:gridSpan w:val="29"/>
          </w:tcPr>
          <w:p>
            <w:pPr>
              <w:ind w:left="20"/>
              <w:spacing w:after="0"/>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Share Purchase Agreement, dated as of February 13, 2018, by and between Bristol-Myers Squibb and Company and Nektar Therapeutics.</w:t>
              </w:r>
            </w:hyperlink>
          </w:p>
        </w:tc>
        <w:tc>
          <w:tcPr>
            <w:tcW w:w="6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10.35(27)</w:t>
            </w:r>
          </w:p>
        </w:tc>
        <w:tc>
          <w:tcPr>
            <w:tcW w:w="100" w:type="dxa"/>
            <w:vAlign w:val="bottom"/>
          </w:tcPr>
          <w:p>
            <w:pPr>
              <w:spacing w:after="0"/>
              <w:rPr>
                <w:sz w:val="24"/>
                <w:szCs w:val="24"/>
                <w:color w:val="auto"/>
              </w:rPr>
            </w:pPr>
          </w:p>
        </w:tc>
        <w:tc>
          <w:tcPr>
            <w:tcW w:w="9120" w:type="dxa"/>
            <w:vAlign w:val="bottom"/>
            <w:tcBorders>
              <w:bottom w:val="single" w:sz="8" w:color="0000FF"/>
            </w:tcBorders>
            <w:gridSpan w:val="19"/>
          </w:tcPr>
          <w:p>
            <w:pPr>
              <w:ind w:left="20"/>
              <w:spacing w:after="0"/>
              <w:rPr>
                <w:rFonts w:ascii="Times New Roman" w:cs="Times New Roman" w:eastAsia="Times New Roman" w:hAnsi="Times New Roman"/>
                <w:sz w:val="18"/>
                <w:szCs w:val="18"/>
                <w:color w:val="0000FF"/>
                <w:w w:val="99"/>
              </w:rPr>
            </w:pPr>
            <w:hyperlink r:id="rId359">
              <w:r>
                <w:rPr>
                  <w:rFonts w:ascii="Times New Roman" w:cs="Times New Roman" w:eastAsia="Times New Roman" w:hAnsi="Times New Roman"/>
                  <w:sz w:val="18"/>
                  <w:szCs w:val="18"/>
                  <w:color w:val="0000FF"/>
                  <w:w w:val="99"/>
                </w:rPr>
                <w:t>Office Lease, effective as of May 31, 2018, by and between Kilroy Realty Finance Partnership, L.P., and Nektar Therapeutics.</w:t>
              </w:r>
            </w:hyperlink>
          </w:p>
        </w:tc>
        <w:tc>
          <w:tcPr>
            <w:tcW w:w="20" w:type="dxa"/>
            <w:vAlign w:val="bottom"/>
            <w:tcBorders>
              <w:bottom w:val="single" w:sz="8" w:color="0000EE"/>
            </w:tcBorders>
          </w:tcPr>
          <w:p>
            <w:pPr>
              <w:spacing w:after="0"/>
              <w:rPr>
                <w:sz w:val="24"/>
                <w:szCs w:val="24"/>
                <w:color w:val="auto"/>
              </w:rPr>
            </w:pPr>
          </w:p>
        </w:tc>
        <w:tc>
          <w:tcPr>
            <w:tcW w:w="860" w:type="dxa"/>
            <w:vAlign w:val="bottom"/>
            <w:gridSpan w:val="10"/>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10.36(29)</w:t>
            </w:r>
          </w:p>
        </w:tc>
        <w:tc>
          <w:tcPr>
            <w:tcW w:w="100" w:type="dxa"/>
            <w:vAlign w:val="bottom"/>
          </w:tcPr>
          <w:p>
            <w:pPr>
              <w:spacing w:after="0"/>
              <w:rPr>
                <w:sz w:val="24"/>
                <w:szCs w:val="24"/>
                <w:color w:val="auto"/>
              </w:rPr>
            </w:pPr>
          </w:p>
        </w:tc>
        <w:tc>
          <w:tcPr>
            <w:tcW w:w="10000" w:type="dxa"/>
            <w:vAlign w:val="bottom"/>
            <w:tcBorders>
              <w:bottom w:val="single" w:sz="8" w:color="0000FF"/>
            </w:tcBorders>
            <w:gridSpan w:val="30"/>
          </w:tcPr>
          <w:p>
            <w:pPr>
              <w:ind w:left="20"/>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Purchase and Sale Agreement, dated December 16, 2020, by and between entities managed by Healthcare Royalty Management, LLC and</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0"/>
          </w:tcPr>
          <w:p>
            <w:pPr>
              <w:ind w:left="20"/>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Nektar Therapeutics.+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10.37(30)</w:t>
            </w:r>
          </w:p>
        </w:tc>
        <w:tc>
          <w:tcPr>
            <w:tcW w:w="100" w:type="dxa"/>
            <w:vAlign w:val="bottom"/>
          </w:tcPr>
          <w:p>
            <w:pPr>
              <w:spacing w:after="0"/>
              <w:rPr>
                <w:sz w:val="24"/>
                <w:szCs w:val="24"/>
                <w:color w:val="auto"/>
              </w:rPr>
            </w:pPr>
          </w:p>
        </w:tc>
        <w:tc>
          <w:tcPr>
            <w:tcW w:w="9380" w:type="dxa"/>
            <w:vAlign w:val="bottom"/>
            <w:tcBorders>
              <w:bottom w:val="single" w:sz="8" w:color="0000FF"/>
            </w:tcBorders>
            <w:gridSpan w:val="23"/>
          </w:tcPr>
          <w:p>
            <w:pPr>
              <w:ind w:left="20"/>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Amendment No. 2 to Strategic Collaboration Agreement dated as of January 12, 2022, by and between Bristol-Myers Squibb and</w:t>
              </w:r>
            </w:hyperlink>
          </w:p>
        </w:tc>
        <w:tc>
          <w:tcPr>
            <w:tcW w:w="62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0"/>
          </w:tcPr>
          <w:p>
            <w:pPr>
              <w:ind w:left="20"/>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Company and Nektar Therapeutics.+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10.38(31)</w:t>
            </w:r>
          </w:p>
        </w:tc>
        <w:tc>
          <w:tcPr>
            <w:tcW w:w="100" w:type="dxa"/>
            <w:vAlign w:val="bottom"/>
          </w:tcPr>
          <w:p>
            <w:pPr>
              <w:spacing w:after="0"/>
              <w:rPr>
                <w:sz w:val="24"/>
                <w:szCs w:val="24"/>
                <w:color w:val="auto"/>
              </w:rPr>
            </w:pPr>
          </w:p>
        </w:tc>
        <w:tc>
          <w:tcPr>
            <w:tcW w:w="9700" w:type="dxa"/>
            <w:vAlign w:val="bottom"/>
            <w:tcBorders>
              <w:bottom w:val="single" w:sz="8" w:color="0000FF"/>
            </w:tcBorders>
            <w:gridSpan w:val="25"/>
          </w:tcPr>
          <w:p>
            <w:pPr>
              <w:ind w:left="20"/>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Employment Transition, Separation and Consultation Agreement, dated as of June 29, 2022, by and between Nektar Therapeutics and</w:t>
              </w:r>
            </w:hyperlink>
          </w:p>
        </w:tc>
        <w:tc>
          <w:tcPr>
            <w:tcW w:w="30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0000FF"/>
            </w:tcBorders>
            <w:gridSpan w:val="3"/>
          </w:tcPr>
          <w:p>
            <w:pPr>
              <w:ind w:left="20"/>
              <w:spacing w:after="0" w:line="196" w:lineRule="exact"/>
              <w:rPr>
                <w:rFonts w:ascii="Times New Roman" w:cs="Times New Roman" w:eastAsia="Times New Roman" w:hAnsi="Times New Roman"/>
                <w:sz w:val="18"/>
                <w:szCs w:val="18"/>
                <w:color w:val="0000FF"/>
                <w:w w:val="98"/>
              </w:rPr>
            </w:pPr>
            <w:hyperlink r:id="rId362">
              <w:r>
                <w:rPr>
                  <w:rFonts w:ascii="Times New Roman" w:cs="Times New Roman" w:eastAsia="Times New Roman" w:hAnsi="Times New Roman"/>
                  <w:sz w:val="18"/>
                  <w:szCs w:val="18"/>
                  <w:color w:val="0000FF"/>
                  <w:w w:val="98"/>
                </w:rPr>
                <w:t>John Northcott.++</w:t>
              </w:r>
            </w:hyperlink>
          </w:p>
        </w:tc>
        <w:tc>
          <w:tcPr>
            <w:tcW w:w="20" w:type="dxa"/>
            <w:vAlign w:val="bottom"/>
            <w:tcBorders>
              <w:bottom w:val="single" w:sz="8" w:color="0000EE"/>
            </w:tcBorders>
          </w:tcPr>
          <w:p>
            <w:pPr>
              <w:spacing w:after="0"/>
              <w:rPr>
                <w:sz w:val="17"/>
                <w:szCs w:val="17"/>
                <w:color w:val="auto"/>
              </w:rPr>
            </w:pPr>
          </w:p>
        </w:tc>
        <w:tc>
          <w:tcPr>
            <w:tcW w:w="8640" w:type="dxa"/>
            <w:vAlign w:val="bottom"/>
            <w:gridSpan w:val="26"/>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10.39(32)</w:t>
            </w:r>
          </w:p>
        </w:tc>
        <w:tc>
          <w:tcPr>
            <w:tcW w:w="100" w:type="dxa"/>
            <w:vAlign w:val="bottom"/>
          </w:tcPr>
          <w:p>
            <w:pPr>
              <w:spacing w:after="0"/>
              <w:rPr>
                <w:sz w:val="24"/>
                <w:szCs w:val="24"/>
                <w:color w:val="auto"/>
              </w:rPr>
            </w:pPr>
          </w:p>
        </w:tc>
        <w:tc>
          <w:tcPr>
            <w:tcW w:w="10000" w:type="dxa"/>
            <w:vAlign w:val="bottom"/>
            <w:gridSpan w:val="30"/>
          </w:tcPr>
          <w:p>
            <w:pPr>
              <w:ind w:left="20"/>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Consulting Agreement between Nektar Therapeutics and FLG Partners, LLC dated April, 2023++</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10.40(33)</w:t>
            </w:r>
          </w:p>
        </w:tc>
        <w:tc>
          <w:tcPr>
            <w:tcW w:w="100" w:type="dxa"/>
            <w:vAlign w:val="bottom"/>
          </w:tcPr>
          <w:p>
            <w:pPr>
              <w:spacing w:after="0"/>
              <w:rPr>
                <w:sz w:val="24"/>
                <w:szCs w:val="24"/>
                <w:color w:val="auto"/>
              </w:rPr>
            </w:pPr>
          </w:p>
        </w:tc>
        <w:tc>
          <w:tcPr>
            <w:tcW w:w="9340" w:type="dxa"/>
            <w:vAlign w:val="bottom"/>
            <w:tcBorders>
              <w:bottom w:val="single" w:sz="8" w:color="0000FF"/>
            </w:tcBorders>
            <w:gridSpan w:val="22"/>
          </w:tcPr>
          <w:p>
            <w:pPr>
              <w:ind w:left="20"/>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Employment Separation and Release Agreement effective as of June 19, 2023 by and between Nektar Therapeutics and Jillian B.</w:t>
              </w:r>
            </w:hyperlink>
          </w:p>
        </w:tc>
        <w:tc>
          <w:tcPr>
            <w:tcW w:w="66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0"/>
          </w:tcPr>
          <w:p>
            <w:pPr>
              <w:ind w:left="20"/>
              <w:spacing w:after="0" w:line="19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Thomsen.++</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10.41(34)</w:t>
            </w:r>
          </w:p>
        </w:tc>
        <w:tc>
          <w:tcPr>
            <w:tcW w:w="100" w:type="dxa"/>
            <w:vAlign w:val="bottom"/>
          </w:tcPr>
          <w:p>
            <w:pPr>
              <w:spacing w:after="0"/>
              <w:rPr>
                <w:sz w:val="24"/>
                <w:szCs w:val="24"/>
                <w:color w:val="auto"/>
              </w:rPr>
            </w:pPr>
          </w:p>
        </w:tc>
        <w:tc>
          <w:tcPr>
            <w:tcW w:w="10000" w:type="dxa"/>
            <w:vAlign w:val="bottom"/>
            <w:gridSpan w:val="30"/>
          </w:tcPr>
          <w:p>
            <w:pPr>
              <w:ind w:left="20"/>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Letter Agreement dated as of September 6, 2023 by and between Bristol-Myers Squibb and Company and Nektar Therapeutics.+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10.42(35)</w:t>
            </w:r>
          </w:p>
        </w:tc>
        <w:tc>
          <w:tcPr>
            <w:tcW w:w="100" w:type="dxa"/>
            <w:vAlign w:val="bottom"/>
          </w:tcPr>
          <w:p>
            <w:pPr>
              <w:spacing w:after="0"/>
              <w:rPr>
                <w:sz w:val="24"/>
                <w:szCs w:val="24"/>
                <w:color w:val="auto"/>
              </w:rPr>
            </w:pPr>
          </w:p>
        </w:tc>
        <w:tc>
          <w:tcPr>
            <w:tcW w:w="9860" w:type="dxa"/>
            <w:vAlign w:val="bottom"/>
            <w:tcBorders>
              <w:bottom w:val="single" w:sz="8" w:color="0000FF"/>
            </w:tcBorders>
            <w:gridSpan w:val="28"/>
          </w:tcPr>
          <w:p>
            <w:pPr>
              <w:ind w:left="20"/>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Amendment No. 1 to Purchase and Sale Agreement, dated December 16, 2020, by and between entities managed by Healthcare Royalty</w:t>
              </w:r>
            </w:hyperlink>
          </w:p>
        </w:tc>
        <w:tc>
          <w:tcPr>
            <w:tcW w:w="1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Borders>
              <w:bottom w:val="single" w:sz="8" w:color="0000FF"/>
            </w:tcBorders>
            <w:gridSpan w:val="11"/>
          </w:tcPr>
          <w:p>
            <w:pPr>
              <w:ind w:left="20"/>
              <w:spacing w:after="0" w:line="196" w:lineRule="exact"/>
              <w:rPr>
                <w:rFonts w:ascii="Times New Roman" w:cs="Times New Roman" w:eastAsia="Times New Roman" w:hAnsi="Times New Roman"/>
                <w:sz w:val="18"/>
                <w:szCs w:val="18"/>
                <w:color w:val="0000FF"/>
                <w:w w:val="99"/>
              </w:rPr>
            </w:pPr>
            <w:hyperlink r:id="rId366">
              <w:r>
                <w:rPr>
                  <w:rFonts w:ascii="Times New Roman" w:cs="Times New Roman" w:eastAsia="Times New Roman" w:hAnsi="Times New Roman"/>
                  <w:sz w:val="18"/>
                  <w:szCs w:val="18"/>
                  <w:color w:val="0000FF"/>
                  <w:w w:val="99"/>
                </w:rPr>
                <w:t>Management, LLC and Nektar Therapeutics.</w:t>
              </w:r>
            </w:hyperlink>
          </w:p>
        </w:tc>
        <w:tc>
          <w:tcPr>
            <w:tcW w:w="20" w:type="dxa"/>
            <w:vAlign w:val="bottom"/>
            <w:tcBorders>
              <w:bottom w:val="single" w:sz="8" w:color="0000EE"/>
            </w:tcBorders>
          </w:tcPr>
          <w:p>
            <w:pPr>
              <w:spacing w:after="0"/>
              <w:rPr>
                <w:sz w:val="17"/>
                <w:szCs w:val="17"/>
                <w:color w:val="auto"/>
              </w:rPr>
            </w:pPr>
          </w:p>
        </w:tc>
        <w:tc>
          <w:tcPr>
            <w:tcW w:w="6740" w:type="dxa"/>
            <w:vAlign w:val="bottom"/>
            <w:gridSpan w:val="18"/>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10.43 (36)</w:t>
            </w:r>
          </w:p>
        </w:tc>
        <w:tc>
          <w:tcPr>
            <w:tcW w:w="100" w:type="dxa"/>
            <w:vAlign w:val="bottom"/>
          </w:tcPr>
          <w:p>
            <w:pPr>
              <w:spacing w:after="0"/>
              <w:rPr>
                <w:sz w:val="24"/>
                <w:szCs w:val="24"/>
                <w:color w:val="auto"/>
              </w:rPr>
            </w:pPr>
          </w:p>
        </w:tc>
        <w:tc>
          <w:tcPr>
            <w:tcW w:w="10000" w:type="dxa"/>
            <w:vAlign w:val="bottom"/>
            <w:tcBorders>
              <w:bottom w:val="single" w:sz="8" w:color="0000FF"/>
            </w:tcBorders>
            <w:gridSpan w:val="30"/>
          </w:tcPr>
          <w:p>
            <w:pPr>
              <w:ind w:left="20"/>
              <w:spacing w:after="0"/>
              <w:rPr>
                <w:rFonts w:ascii="Times New Roman" w:cs="Times New Roman" w:eastAsia="Times New Roman" w:hAnsi="Times New Roman"/>
                <w:sz w:val="18"/>
                <w:szCs w:val="18"/>
                <w:color w:val="0000FF"/>
                <w:w w:val="99"/>
              </w:rPr>
            </w:pPr>
            <w:hyperlink r:id="rId367">
              <w:r>
                <w:rPr>
                  <w:rFonts w:ascii="Times New Roman" w:cs="Times New Roman" w:eastAsia="Times New Roman" w:hAnsi="Times New Roman"/>
                  <w:sz w:val="18"/>
                  <w:szCs w:val="18"/>
                  <w:color w:val="0000FF"/>
                  <w:w w:val="99"/>
                </w:rPr>
                <w:t>Asset Purchase Agreement, dated as of November 1, 2024, between Nektar Therapeutics and an affiliate of Ampersand Management LLC</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0"/>
          </w:tcPr>
          <w:p>
            <w:pPr>
              <w:ind w:left="20"/>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d/b/a Ampersand Capital Partners.</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1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19.1(37)</w:t>
            </w:r>
          </w:p>
        </w:tc>
        <w:tc>
          <w:tcPr>
            <w:tcW w:w="100" w:type="dxa"/>
            <w:vAlign w:val="bottom"/>
          </w:tcPr>
          <w:p>
            <w:pPr>
              <w:spacing w:after="0"/>
              <w:rPr>
                <w:sz w:val="24"/>
                <w:szCs w:val="24"/>
                <w:color w:val="auto"/>
              </w:rPr>
            </w:pPr>
          </w:p>
        </w:tc>
        <w:tc>
          <w:tcPr>
            <w:tcW w:w="3140" w:type="dxa"/>
            <w:vAlign w:val="bottom"/>
            <w:tcBorders>
              <w:bottom w:val="single" w:sz="8" w:color="0000FF"/>
            </w:tcBorders>
            <w:gridSpan w:val="10"/>
          </w:tcPr>
          <w:p>
            <w:pPr>
              <w:ind w:left="20"/>
              <w:spacing w:after="0"/>
              <w:rPr>
                <w:rFonts w:ascii="Times New Roman" w:cs="Times New Roman" w:eastAsia="Times New Roman" w:hAnsi="Times New Roman"/>
                <w:sz w:val="18"/>
                <w:szCs w:val="18"/>
                <w:color w:val="0000FF"/>
                <w:w w:val="99"/>
              </w:rPr>
            </w:pPr>
            <w:hyperlink r:id="rId368">
              <w:r>
                <w:rPr>
                  <w:rFonts w:ascii="Times New Roman" w:cs="Times New Roman" w:eastAsia="Times New Roman" w:hAnsi="Times New Roman"/>
                  <w:sz w:val="18"/>
                  <w:szCs w:val="18"/>
                  <w:color w:val="0000FF"/>
                  <w:w w:val="99"/>
                </w:rPr>
                <w:t>Nektar Therapeutics Insider Trading Policy</w:t>
              </w:r>
            </w:hyperlink>
          </w:p>
        </w:tc>
        <w:tc>
          <w:tcPr>
            <w:tcW w:w="6860" w:type="dxa"/>
            <w:vAlign w:val="bottom"/>
            <w:gridSpan w:val="20"/>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21.1(38)</w:t>
            </w:r>
          </w:p>
        </w:tc>
        <w:tc>
          <w:tcPr>
            <w:tcW w:w="100" w:type="dxa"/>
            <w:vAlign w:val="bottom"/>
          </w:tcPr>
          <w:p>
            <w:pPr>
              <w:spacing w:after="0"/>
              <w:rPr>
                <w:sz w:val="24"/>
                <w:szCs w:val="24"/>
                <w:color w:val="auto"/>
              </w:rPr>
            </w:pPr>
          </w:p>
        </w:tc>
        <w:tc>
          <w:tcPr>
            <w:tcW w:w="268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9"/>
              </w:rPr>
              <w:t>Subsidiaries of Nektar Therapeutics.</w:t>
            </w:r>
          </w:p>
        </w:tc>
        <w:tc>
          <w:tcPr>
            <w:tcW w:w="7320" w:type="dxa"/>
            <w:vAlign w:val="bottom"/>
            <w:gridSpan w:val="21"/>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23.1(38)</w:t>
            </w:r>
          </w:p>
        </w:tc>
        <w:tc>
          <w:tcPr>
            <w:tcW w:w="100" w:type="dxa"/>
            <w:vAlign w:val="bottom"/>
          </w:tcPr>
          <w:p>
            <w:pPr>
              <w:spacing w:after="0"/>
              <w:rPr>
                <w:sz w:val="24"/>
                <w:szCs w:val="24"/>
                <w:color w:val="auto"/>
              </w:rPr>
            </w:pPr>
          </w:p>
        </w:tc>
        <w:tc>
          <w:tcPr>
            <w:tcW w:w="440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5600" w:type="dxa"/>
            <w:vAlign w:val="bottom"/>
            <w:gridSpan w:val="16"/>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Pr>
          <w:p>
            <w:pPr>
              <w:spacing w:after="0"/>
              <w:rPr>
                <w:sz w:val="24"/>
                <w:szCs w:val="24"/>
                <w:color w:val="auto"/>
              </w:rPr>
            </w:pPr>
          </w:p>
        </w:tc>
        <w:tc>
          <w:tcPr>
            <w:tcW w:w="1000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Power of Attorney (reference is made to the signature page).</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360" w:type="dxa"/>
            <w:vAlign w:val="bottom"/>
            <w:tcBorders>
              <w:right w:val="single" w:sz="8" w:color="0000EE"/>
            </w:tcBorders>
            <w:gridSpan w:val="6"/>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1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31.1(38)</w:t>
            </w:r>
          </w:p>
        </w:tc>
        <w:tc>
          <w:tcPr>
            <w:tcW w:w="100" w:type="dxa"/>
            <w:vAlign w:val="bottom"/>
          </w:tcPr>
          <w:p>
            <w:pPr>
              <w:spacing w:after="0"/>
              <w:rPr>
                <w:sz w:val="24"/>
                <w:szCs w:val="24"/>
                <w:color w:val="auto"/>
              </w:rPr>
            </w:pPr>
          </w:p>
        </w:tc>
        <w:tc>
          <w:tcPr>
            <w:tcW w:w="1000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Certification of Nektar Therapeutics’ principal executive officer required by Rule 13a-14(a) or Rule 15d-14(a).</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31.2(38)</w:t>
            </w:r>
          </w:p>
        </w:tc>
        <w:tc>
          <w:tcPr>
            <w:tcW w:w="100" w:type="dxa"/>
            <w:vAlign w:val="bottom"/>
          </w:tcPr>
          <w:p>
            <w:pPr>
              <w:spacing w:after="0"/>
              <w:rPr>
                <w:sz w:val="24"/>
                <w:szCs w:val="24"/>
                <w:color w:val="auto"/>
              </w:rPr>
            </w:pPr>
          </w:p>
        </w:tc>
        <w:tc>
          <w:tcPr>
            <w:tcW w:w="8000" w:type="dxa"/>
            <w:vAlign w:val="bottom"/>
            <w:tcBorders>
              <w:top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rPr>
              <w:t>Certification of Nektar Therapeutics’ principal financial officer required by Rule 13a-14(a) or Rule 15d-14(a).</w:t>
            </w:r>
          </w:p>
        </w:tc>
        <w:tc>
          <w:tcPr>
            <w:tcW w:w="2000" w:type="dxa"/>
            <w:vAlign w:val="bottom"/>
            <w:gridSpan w:val="12"/>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7940" w:type="dxa"/>
            <w:vAlign w:val="bottom"/>
            <w:tcBorders>
              <w:top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rPr>
              <w:t>Section 1350 Certifications.</w:t>
            </w:r>
          </w:p>
        </w:tc>
        <w:tc>
          <w:tcPr>
            <w:tcW w:w="2060" w:type="dxa"/>
            <w:vAlign w:val="bottom"/>
            <w:gridSpan w:val="13"/>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4760" w:type="dxa"/>
            <w:vAlign w:val="bottom"/>
            <w:gridSpan w:val="15"/>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97 (37)</w:t>
            </w:r>
          </w:p>
        </w:tc>
        <w:tc>
          <w:tcPr>
            <w:tcW w:w="100" w:type="dxa"/>
            <w:vAlign w:val="bottom"/>
          </w:tcPr>
          <w:p>
            <w:pPr>
              <w:spacing w:after="0"/>
              <w:rPr>
                <w:sz w:val="24"/>
                <w:szCs w:val="24"/>
                <w:color w:val="auto"/>
              </w:rPr>
            </w:pPr>
          </w:p>
        </w:tc>
        <w:tc>
          <w:tcPr>
            <w:tcW w:w="5240" w:type="dxa"/>
            <w:vAlign w:val="bottom"/>
            <w:tcBorders>
              <w:bottom w:val="single" w:sz="8" w:color="0000FF"/>
            </w:tcBorders>
            <w:gridSpan w:val="15"/>
          </w:tcPr>
          <w:p>
            <w:pPr>
              <w:ind w:left="20"/>
              <w:spacing w:after="0"/>
              <w:rPr>
                <w:rFonts w:ascii="Times New Roman" w:cs="Times New Roman" w:eastAsia="Times New Roman" w:hAnsi="Times New Roman"/>
                <w:sz w:val="18"/>
                <w:szCs w:val="18"/>
                <w:color w:val="0000FF"/>
                <w:w w:val="99"/>
              </w:rPr>
            </w:pPr>
            <w:hyperlink r:id="rId369">
              <w:r>
                <w:rPr>
                  <w:rFonts w:ascii="Times New Roman" w:cs="Times New Roman" w:eastAsia="Times New Roman" w:hAnsi="Times New Roman"/>
                  <w:sz w:val="18"/>
                  <w:szCs w:val="18"/>
                  <w:color w:val="0000FF"/>
                  <w:w w:val="99"/>
                </w:rPr>
                <w:t>Nektar Therapeutics Compensation Recovery Policy, dated June 8, 2023</w:t>
              </w:r>
            </w:hyperlink>
          </w:p>
        </w:tc>
        <w:tc>
          <w:tcPr>
            <w:tcW w:w="4760" w:type="dxa"/>
            <w:vAlign w:val="bottom"/>
            <w:gridSpan w:val="15"/>
          </w:tcPr>
          <w:p>
            <w:pPr>
              <w:spacing w:after="0"/>
              <w:rPr>
                <w:sz w:val="24"/>
                <w:szCs w:val="24"/>
                <w:color w:val="auto"/>
              </w:rPr>
            </w:pPr>
          </w:p>
        </w:tc>
      </w:tr>
      <w:tr>
        <w:trPr>
          <w:trHeight w:val="3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00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18"/>
                <w:szCs w:val="18"/>
                <w:color w:val="auto"/>
              </w:rPr>
            </w:pPr>
          </w:p>
        </w:tc>
        <w:tc>
          <w:tcPr>
            <w:tcW w:w="1000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18"/>
                <w:szCs w:val="18"/>
                <w:color w:val="auto"/>
              </w:rPr>
            </w:pPr>
          </w:p>
        </w:tc>
        <w:tc>
          <w:tcPr>
            <w:tcW w:w="1000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18"/>
                <w:szCs w:val="18"/>
                <w:color w:val="auto"/>
              </w:rPr>
            </w:pPr>
          </w:p>
        </w:tc>
        <w:tc>
          <w:tcPr>
            <w:tcW w:w="1000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Label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18"/>
                <w:szCs w:val="18"/>
                <w:color w:val="auto"/>
              </w:rPr>
            </w:pPr>
          </w:p>
        </w:tc>
        <w:tc>
          <w:tcPr>
            <w:tcW w:w="1000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r>
    </w:tbl>
    <w:p>
      <w:pPr>
        <w:spacing w:after="0" w:line="225" w:lineRule="exact"/>
        <w:rPr>
          <w:sz w:val="20"/>
          <w:szCs w:val="20"/>
          <w:color w:val="auto"/>
        </w:rPr>
      </w:pPr>
    </w:p>
    <w:p>
      <w:pPr>
        <w:ind w:right="160" w:firstLine="8"/>
        <w:spacing w:after="0" w:line="282" w:lineRule="auto"/>
        <w:tabs>
          <w:tab w:leader="none" w:pos="1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(indicated by brackets and asterisks) have been omitted from this exhibit in accordance with the rules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9512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7" w:lineRule="exact"/>
        <w:rPr>
          <w:sz w:val="20"/>
          <w:szCs w:val="20"/>
          <w:color w:val="auto"/>
        </w:rPr>
      </w:pPr>
    </w:p>
    <w:p>
      <w:pPr>
        <w:ind w:right="140" w:firstLine="8"/>
        <w:spacing w:after="0" w:line="250" w:lineRule="auto"/>
        <w:tabs>
          <w:tab w:leader="none" w:pos="1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Inline XBRL information is filed herewith.</w:t>
      </w:r>
    </w:p>
    <w:p>
      <w:pPr>
        <w:spacing w:after="0" w:line="9" w:lineRule="exact"/>
        <w:rPr>
          <w:sz w:val="20"/>
          <w:szCs w:val="20"/>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2008.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1998.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2000.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Current Report on Form 8-K, filed on January 23, 2003.</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2009.</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Current Report on Form 8-K, filed on December 16, 2022.</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Current Report on Form 8-K, filed on October 6, 2015.</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2011.</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Current Report on Form 8-K, filed on June 17, 2015.</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Current Report on Form 8-K filed on December 17, 2015.</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2023.</w:t>
      </w:r>
    </w:p>
    <w:p>
      <w:pPr>
        <w:spacing w:after="0" w:line="20" w:lineRule="exact"/>
        <w:rPr>
          <w:rFonts w:ascii="Times New Roman" w:cs="Times New Roman" w:eastAsia="Times New Roman" w:hAnsi="Times New Roman"/>
          <w:sz w:val="17"/>
          <w:szCs w:val="17"/>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2004.</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2007.</w:t>
      </w:r>
    </w:p>
    <w:p>
      <w:pPr>
        <w:spacing w:after="0" w:line="20" w:lineRule="exact"/>
        <w:rPr>
          <w:rFonts w:ascii="Times New Roman" w:cs="Times New Roman" w:eastAsia="Times New Roman" w:hAnsi="Times New Roman"/>
          <w:sz w:val="17"/>
          <w:szCs w:val="17"/>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2010.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2017.</w:t>
      </w:r>
    </w:p>
    <w:p>
      <w:pPr>
        <w:spacing w:after="0" w:line="20" w:lineRule="exact"/>
        <w:rPr>
          <w:rFonts w:ascii="Times New Roman" w:cs="Times New Roman" w:eastAsia="Times New Roman" w:hAnsi="Times New Roman"/>
          <w:sz w:val="17"/>
          <w:szCs w:val="17"/>
          <w:color w:val="auto"/>
        </w:rPr>
      </w:pPr>
    </w:p>
    <w:p>
      <w:pPr>
        <w:ind w:left="480" w:hanging="472"/>
        <w:spacing w:after="0"/>
        <w:tabs>
          <w:tab w:leader="none" w:pos="4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2019.</w:t>
      </w:r>
    </w:p>
    <w:p>
      <w:pPr>
        <w:spacing w:after="0" w:line="20" w:lineRule="exact"/>
        <w:rPr>
          <w:rFonts w:ascii="Times New Roman" w:cs="Times New Roman" w:eastAsia="Times New Roman" w:hAnsi="Times New Roman"/>
          <w:sz w:val="17"/>
          <w:szCs w:val="17"/>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2006.</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2009.</w:t>
      </w:r>
    </w:p>
    <w:p>
      <w:pPr>
        <w:spacing w:after="0" w:line="20" w:lineRule="exact"/>
        <w:rPr>
          <w:rFonts w:ascii="Times New Roman" w:cs="Times New Roman" w:eastAsia="Times New Roman" w:hAnsi="Times New Roman"/>
          <w:sz w:val="17"/>
          <w:szCs w:val="17"/>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2016.</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March 31, 2012.</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2013.</w:t>
      </w:r>
    </w:p>
    <w:p>
      <w:pPr>
        <w:spacing w:after="0" w:line="20" w:lineRule="exact"/>
        <w:rPr>
          <w:rFonts w:ascii="Times New Roman" w:cs="Times New Roman" w:eastAsia="Times New Roman" w:hAnsi="Times New Roman"/>
          <w:sz w:val="17"/>
          <w:szCs w:val="17"/>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March 31,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Current Report on Form 8-K filed on February 14,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2018.</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0" w:hanging="472"/>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2019.</w:t>
      </w:r>
    </w:p>
    <w:p>
      <w:pPr>
        <w:spacing w:after="0" w:line="2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2021.</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2022.</w:t>
      </w:r>
    </w:p>
    <w:p>
      <w:pPr>
        <w:spacing w:after="0" w:line="20" w:lineRule="exact"/>
        <w:rPr>
          <w:rFonts w:ascii="Times New Roman" w:cs="Times New Roman" w:eastAsia="Times New Roman" w:hAnsi="Times New Roman"/>
          <w:sz w:val="17"/>
          <w:szCs w:val="17"/>
          <w:color w:val="auto"/>
        </w:rPr>
      </w:pPr>
    </w:p>
    <w:p>
      <w:pPr>
        <w:ind w:left="480" w:hanging="472"/>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March 31, 2023.</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June 30, 2023.</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the indicated exhibit in Nektar Therapeutics’ Quarterly Report on Form 10-Q for the quarter ended September 30, 2023.</w:t>
      </w:r>
    </w:p>
    <w:p>
      <w:pPr>
        <w:spacing w:after="0" w:line="20" w:lineRule="exact"/>
        <w:rPr>
          <w:rFonts w:ascii="Times New Roman" w:cs="Times New Roman" w:eastAsia="Times New Roman" w:hAnsi="Times New Roman"/>
          <w:sz w:val="17"/>
          <w:szCs w:val="17"/>
          <w:color w:val="auto"/>
        </w:rPr>
      </w:pPr>
    </w:p>
    <w:p>
      <w:pPr>
        <w:ind w:left="480" w:hanging="472"/>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Quarterly Report on Form 10-Q for the quarter ended March 31, 2024.</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Current Report on Form 8-K, filed on November 5, 2024.</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indicated exhibit in Nektar Therapeutics’ Annual Report on Form 10-K for the year ended December 31, 2024.</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16. Form 10-K Summary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firstLine="64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NEKTAR THERAPEUTICS</w:t>
      </w:r>
    </w:p>
    <w:p>
      <w:pPr>
        <w:spacing w:after="0" w:line="27" w:lineRule="exact"/>
        <w:rPr>
          <w:sz w:val="20"/>
          <w:szCs w:val="20"/>
          <w:color w:val="auto"/>
        </w:rPr>
      </w:pPr>
    </w:p>
    <w:p>
      <w:pPr>
        <w:ind w:left="5520"/>
        <w:spacing w:after="0"/>
        <w:tabs>
          <w:tab w:leader="none" w:pos="5940" w:val="left"/>
        </w:tabs>
        <w:rPr>
          <w:sz w:val="20"/>
          <w:szCs w:val="20"/>
          <w:color w:val="auto"/>
        </w:rPr>
      </w:pPr>
      <w:r>
        <w:rPr>
          <w:rFonts w:ascii="Times New Roman" w:cs="Times New Roman" w:eastAsia="Times New Roman" w:hAnsi="Times New Roman"/>
          <w:sz w:val="18"/>
          <w:szCs w:val="18"/>
          <w:color w:val="auto"/>
        </w:rPr>
        <w:t>By:</w:t>
        <w:tab/>
        <w:t>/s/ SANDRA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432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Sandra Gardiner</w:t>
      </w:r>
    </w:p>
    <w:p>
      <w:pPr>
        <w:spacing w:after="0" w:line="2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Interim Chief Financial Officer (Principal Financial and Accounting</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Officer)</w:t>
      </w: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9" w:lineRule="exact"/>
        <w:rPr>
          <w:sz w:val="20"/>
          <w:szCs w:val="20"/>
          <w:color w:val="auto"/>
        </w:rPr>
      </w:pPr>
    </w:p>
    <w:p>
      <w:pPr>
        <w:ind w:firstLine="644"/>
        <w:spacing w:after="0" w:line="255" w:lineRule="auto"/>
        <w:rPr>
          <w:sz w:val="20"/>
          <w:szCs w:val="20"/>
          <w:color w:val="auto"/>
        </w:rPr>
      </w:pPr>
      <w:r>
        <w:rPr>
          <w:rFonts w:ascii="Times New Roman" w:cs="Times New Roman" w:eastAsia="Times New Roman" w:hAnsi="Times New Roman"/>
          <w:sz w:val="18"/>
          <w:szCs w:val="18"/>
          <w:color w:val="auto"/>
        </w:rPr>
        <w:t>KNOW ALL PERSON BY THESE PRESENTS, that each person whose signature appears below constitutes and appoints Howard W. Robin and Sandra Gardiner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 and confirming all that said attorneys-in-fact and agents, or any of them, or their or his or her substitute or substitutes, may lawfully do or cause to be done by virtue hereof.</w:t>
      </w:r>
    </w:p>
    <w:p>
      <w:pPr>
        <w:spacing w:after="0" w:line="162" w:lineRule="exact"/>
        <w:rPr>
          <w:sz w:val="20"/>
          <w:szCs w:val="20"/>
          <w:color w:val="auto"/>
        </w:rPr>
      </w:pPr>
    </w:p>
    <w:p>
      <w:pPr>
        <w:ind w:right="340" w:firstLine="64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49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45"/>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HOWARD W. ROBIN</w:t>
            </w:r>
          </w:p>
        </w:tc>
        <w:tc>
          <w:tcPr>
            <w:tcW w:w="120" w:type="dxa"/>
            <w:vAlign w:val="bottom"/>
          </w:tcPr>
          <w:p>
            <w:pPr>
              <w:spacing w:after="0"/>
              <w:rPr>
                <w:sz w:val="24"/>
                <w:szCs w:val="24"/>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Howard W. Robin</w:t>
            </w:r>
          </w:p>
        </w:tc>
        <w:tc>
          <w:tcPr>
            <w:tcW w:w="1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3"/>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SANDRA GARDINER</w:t>
            </w:r>
          </w:p>
        </w:tc>
        <w:tc>
          <w:tcPr>
            <w:tcW w:w="120" w:type="dxa"/>
            <w:vAlign w:val="bottom"/>
          </w:tcPr>
          <w:p>
            <w:pPr>
              <w:spacing w:after="0"/>
              <w:rPr>
                <w:sz w:val="24"/>
                <w:szCs w:val="24"/>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Sandra Gardiner</w:t>
            </w:r>
          </w:p>
        </w:tc>
        <w:tc>
          <w:tcPr>
            <w:tcW w:w="1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3"/>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B. CHESS</w:t>
            </w:r>
          </w:p>
        </w:tc>
        <w:tc>
          <w:tcPr>
            <w:tcW w:w="120" w:type="dxa"/>
            <w:vAlign w:val="bottom"/>
          </w:tcPr>
          <w:p>
            <w:pPr>
              <w:spacing w:after="0"/>
              <w:rPr>
                <w:sz w:val="24"/>
                <w:szCs w:val="24"/>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Chairman of the Board of Directors</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Robert B. Chess</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3"/>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R. AJER</w:t>
            </w:r>
          </w:p>
        </w:tc>
        <w:tc>
          <w:tcPr>
            <w:tcW w:w="120" w:type="dxa"/>
            <w:vAlign w:val="bottom"/>
          </w:tcPr>
          <w:p>
            <w:pPr>
              <w:spacing w:after="0"/>
              <w:rPr>
                <w:sz w:val="24"/>
                <w:szCs w:val="24"/>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Jeffrey R. Ajer</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3"/>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DIANA M. BRAINARD</w:t>
            </w:r>
          </w:p>
        </w:tc>
        <w:tc>
          <w:tcPr>
            <w:tcW w:w="120" w:type="dxa"/>
            <w:vAlign w:val="bottom"/>
          </w:tcPr>
          <w:p>
            <w:pPr>
              <w:spacing w:after="0"/>
              <w:rPr>
                <w:sz w:val="24"/>
                <w:szCs w:val="24"/>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Diana M. Brainard</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3"/>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 SCOTT GREER</w:t>
            </w:r>
          </w:p>
        </w:tc>
        <w:tc>
          <w:tcPr>
            <w:tcW w:w="120" w:type="dxa"/>
            <w:vAlign w:val="bottom"/>
          </w:tcPr>
          <w:p>
            <w:pPr>
              <w:spacing w:after="0"/>
              <w:rPr>
                <w:sz w:val="24"/>
                <w:szCs w:val="24"/>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 Scott Greer</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3"/>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ROY A. WHITFIELD</w:t>
            </w:r>
          </w:p>
        </w:tc>
        <w:tc>
          <w:tcPr>
            <w:tcW w:w="120" w:type="dxa"/>
            <w:vAlign w:val="bottom"/>
          </w:tcPr>
          <w:p>
            <w:pPr>
              <w:spacing w:after="0"/>
              <w:rPr>
                <w:sz w:val="24"/>
                <w:szCs w:val="24"/>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March 12, 2026</w:t>
            </w:r>
          </w:p>
        </w:tc>
      </w:tr>
      <w:tr>
        <w:trPr>
          <w:trHeight w:val="232"/>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Roy A. Whitfield</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07" w:name="page108"/>
    <w:bookmarkEnd w:id="107"/>
    <w:p>
      <w:pPr>
        <w:ind w:left="10120"/>
        <w:spacing w:after="0"/>
        <w:rPr>
          <w:sz w:val="20"/>
          <w:szCs w:val="20"/>
          <w:color w:val="auto"/>
        </w:rPr>
      </w:pPr>
      <w:r>
        <w:rPr>
          <w:rFonts w:ascii="Times New Roman" w:cs="Times New Roman" w:eastAsia="Times New Roman" w:hAnsi="Times New Roman"/>
          <w:sz w:val="21"/>
          <w:szCs w:val="21"/>
          <w:b w:val="1"/>
          <w:bCs w:val="1"/>
          <w:color w:val="181818"/>
        </w:rPr>
        <w:t>Exhibit 19.1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NEKTAR THERAPEUTICS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SECURITY TRADING POLICY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Nektar Therapeutics (“Nektar” or the “Company”) is committed to complying with all applicable laws and regulations. Nektar has adopted this Security Trading Policy (“Policy”) to prohibit Affiliates from trading in the securities of any company, including Nektar, while in possession of material, non-public information about such company, as well as passing on material, non-public information to others who trade on that information. These types of transactions are commonly known as “insider trading” and “tipping,” respectively.</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Our Board of Directors has approved this Policy, and we have appointed our head of the legal department (“General Counsel”) (with their designees) to administer the Policy and to be available to answer your questions.</w:t>
      </w:r>
    </w:p>
    <w:p>
      <w:pPr>
        <w:spacing w:after="0" w:line="154" w:lineRule="exact"/>
        <w:rPr>
          <w:sz w:val="20"/>
          <w:szCs w:val="20"/>
          <w:color w:val="auto"/>
        </w:rPr>
      </w:pPr>
    </w:p>
    <w:p>
      <w:pPr>
        <w:jc w:val="both"/>
        <w:ind w:left="760" w:hanging="752"/>
        <w:spacing w:after="0" w:line="246" w:lineRule="auto"/>
        <w:tabs>
          <w:tab w:leader="none" w:pos="7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Scope of the Policy</w:t>
      </w:r>
      <w:r>
        <w:rPr>
          <w:rFonts w:ascii="Times New Roman" w:cs="Times New Roman" w:eastAsia="Times New Roman" w:hAnsi="Times New Roman"/>
          <w:sz w:val="21"/>
          <w:szCs w:val="21"/>
          <w:color w:val="auto"/>
        </w:rPr>
        <w:t>. Because our stock is publicly traded, as an employee, officer, director, consultant or contractor,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and your Affiliates (as defined below) must comply with both the provisions of federal and state securities laws and with our policies, including this policy and our Corporate Disclosure Policy. It is the policy of Nektar to maintain proper procedures to ensure compliance with applicable securities laws and other ethical standards. During the course of your employment with or delivery of services to Nektar, you will learn information about the Company that may be material and/or not publicly known. </w:t>
      </w:r>
      <w:r>
        <w:rPr>
          <w:rFonts w:ascii="Times New Roman" w:cs="Times New Roman" w:eastAsia="Times New Roman" w:hAnsi="Times New Roman"/>
          <w:sz w:val="21"/>
          <w:szCs w:val="21"/>
          <w:b w:val="1"/>
          <w:bCs w:val="1"/>
          <w:color w:val="auto"/>
        </w:rPr>
        <w:t>It is illegal for you to buy or sell Nektar’s stock (or other securities, whether they are</w:t>
      </w:r>
    </w:p>
    <w:p>
      <w:pPr>
        <w:jc w:val="both"/>
        <w:ind w:left="76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 xml:space="preserve">Nektar securities or the securities of other companies) on the basis of material, non-public information. It is also illegal for you to pass such information on to others who use it to decide whether to buy or sell securities. </w:t>
      </w:r>
      <w:r>
        <w:rPr>
          <w:rFonts w:ascii="Times New Roman" w:cs="Times New Roman" w:eastAsia="Times New Roman" w:hAnsi="Times New Roman"/>
          <w:sz w:val="22"/>
          <w:szCs w:val="22"/>
          <w:color w:val="auto"/>
        </w:rPr>
        <w:t>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Policy prohibits not only illegal activities, but also other stock trading activities that may not be illegal. These additional restrictions are designed to protect both you and Nektar from even the appearance of improper activity.</w:t>
      </w:r>
    </w:p>
    <w:p>
      <w:pPr>
        <w:spacing w:after="0" w:line="177" w:lineRule="exact"/>
        <w:rPr>
          <w:rFonts w:ascii="Times New Roman" w:cs="Times New Roman" w:eastAsia="Times New Roman" w:hAnsi="Times New Roman"/>
          <w:sz w:val="21"/>
          <w:szCs w:val="21"/>
          <w:color w:val="auto"/>
        </w:rPr>
      </w:pPr>
    </w:p>
    <w:p>
      <w:pPr>
        <w:jc w:val="both"/>
        <w:ind w:left="760" w:right="2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Policy provides you with an overview of the most significant aspects of trading in Nektar’s securities (including insider trading). All individuals subject to this policy are obligated to read, abide by and retain this Policy and applicable laws.</w:t>
      </w:r>
    </w:p>
    <w:p>
      <w:pPr>
        <w:spacing w:after="0" w:line="169" w:lineRule="exact"/>
        <w:rPr>
          <w:rFonts w:ascii="Times New Roman" w:cs="Times New Roman" w:eastAsia="Times New Roman" w:hAnsi="Times New Roman"/>
          <w:sz w:val="21"/>
          <w:szCs w:val="21"/>
          <w:color w:val="auto"/>
        </w:rPr>
      </w:pPr>
    </w:p>
    <w:p>
      <w:pPr>
        <w:jc w:val="both"/>
        <w:ind w:left="760"/>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Persons Covered by the Policy</w:t>
      </w:r>
      <w:r>
        <w:rPr>
          <w:rFonts w:ascii="Times New Roman" w:cs="Times New Roman" w:eastAsia="Times New Roman" w:hAnsi="Times New Roman"/>
          <w:sz w:val="22"/>
          <w:szCs w:val="22"/>
          <w:color w:val="auto"/>
        </w:rPr>
        <w:t>. This Policy applies to all Nektar directors, officers, employees (regardless of whether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full-time, part-time or temporary), consultants, and contractors of Nektar, and the following persons (collectively, these persons and entities are referred to as “Affiliates”):</w:t>
      </w:r>
    </w:p>
    <w:p>
      <w:pPr>
        <w:spacing w:after="0" w:line="171" w:lineRule="exact"/>
        <w:rPr>
          <w:rFonts w:ascii="Times New Roman" w:cs="Times New Roman" w:eastAsia="Times New Roman" w:hAnsi="Times New Roman"/>
          <w:sz w:val="21"/>
          <w:szCs w:val="21"/>
          <w:color w:val="auto"/>
        </w:rPr>
      </w:pPr>
    </w:p>
    <w:p>
      <w:pPr>
        <w:jc w:val="both"/>
        <w:ind w:left="1500" w:hanging="743"/>
        <w:spacing w:after="0" w:line="239" w:lineRule="auto"/>
        <w:tabs>
          <w:tab w:leader="none" w:pos="150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family members (“Family Members”), defined as: (a) your spouse, domestic partner, children, stepchildren, grandchildren, parents, stepparents, grandparents, siblings, in-laws, significant other or other family members, in each case, living in the same household; (b) your children or your spouse’s children who do not reside in the same household as you but are financially dependent on you; and (c) any 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8" w:name="page109"/>
    <w:bookmarkEnd w:id="108"/>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person within (a) or (b) who does not reside in your household but whose transactions are directed by you;</w:t>
      </w:r>
    </w:p>
    <w:p>
      <w:pPr>
        <w:spacing w:after="0" w:line="14" w:lineRule="exact"/>
        <w:rPr>
          <w:sz w:val="20"/>
          <w:szCs w:val="20"/>
          <w:color w:val="auto"/>
        </w:rPr>
      </w:pPr>
    </w:p>
    <w:p>
      <w:pPr>
        <w:jc w:val="both"/>
        <w:ind w:left="1500" w:hanging="743"/>
        <w:spacing w:after="0" w:line="230" w:lineRule="auto"/>
        <w:tabs>
          <w:tab w:leader="none" w:pos="15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individual over whose account you have control and to whose financial support you materially contribute (wherein materially contributing to financial support would include, for example, paying an individual’s rent but not just a phone bill);</w:t>
      </w:r>
    </w:p>
    <w:p>
      <w:pPr>
        <w:spacing w:after="0" w:line="1" w:lineRule="exact"/>
        <w:rPr>
          <w:rFonts w:ascii="Times New Roman" w:cs="Times New Roman" w:eastAsia="Times New Roman" w:hAnsi="Times New Roman"/>
          <w:sz w:val="22"/>
          <w:szCs w:val="22"/>
          <w:color w:val="auto"/>
        </w:rPr>
      </w:pPr>
    </w:p>
    <w:p>
      <w:pPr>
        <w:jc w:val="both"/>
        <w:ind w:left="1500" w:hanging="743"/>
        <w:spacing w:after="0" w:line="230" w:lineRule="auto"/>
        <w:tabs>
          <w:tab w:leader="none" w:pos="15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trusts, family partnerships and other types of entities formed for the benefit of a Restricted Person (as defined herein) or for the benefit of a member of your family over which you have the ability to influence or direct investment decisions concerning securities;</w:t>
      </w:r>
    </w:p>
    <w:p>
      <w:pPr>
        <w:spacing w:after="0" w:line="1"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jc w:val="both"/>
        <w:ind w:left="1500" w:hanging="743"/>
        <w:spacing w:after="0" w:line="231" w:lineRule="auto"/>
        <w:tabs>
          <w:tab w:leader="none" w:pos="15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investment funds, trusts, retirement plans, partnerships, corporations and other types of entities over which you have the ability to influence or direct investment decisions concerning securities (other than electronically traded and investment funds that hold Nektar stock as part of an index and which you have de minimis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black-out periods and pre-clearance procedures do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the Company that its affiliated entities: (a) engage in the investment of securities in the ordinary course of their respective businesses; (b) have established insider trading controls and procedures in compliance with securities laws; and (c) are aware that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You are responsible for ensuring compliance with this Policy by all of your Affiliates.</w:t>
      </w:r>
    </w:p>
    <w:p>
      <w:pPr>
        <w:spacing w:after="0" w:line="202"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b w:val="1"/>
          <w:bCs w:val="1"/>
          <w:color w:val="auto"/>
        </w:rPr>
        <w:t>Duration of Trading Prohibitions</w:t>
      </w:r>
      <w:r>
        <w:rPr>
          <w:rFonts w:ascii="Times New Roman" w:cs="Times New Roman" w:eastAsia="Times New Roman" w:hAnsi="Times New Roman"/>
          <w:sz w:val="22"/>
          <w:szCs w:val="22"/>
          <w:color w:val="auto"/>
        </w:rPr>
        <w:t>. These trading prohibitions continue whenever and for as long as you know or are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possession of material nonpublic information. Remember, anyone scrutinizing your transactions will be doing so after the fact, with the benefit of hindsight. As a practical matter, before engaging in any transaction, you should carefully consider even the appearance of improper insider trading and how enforcement authorities and others might view the transaction in hindsight.</w:t>
      </w:r>
    </w:p>
    <w:p>
      <w:pPr>
        <w:spacing w:after="0" w:line="181"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In the event that you leave the Company for any reason, this Security Trading Policy will continue to apply to you and your Affiliates until the later of: (1) the first full trading day following the day in which there is a public release of earnings for the fiscal quarter in which you leave the Company; and (2) the first full trading day following the day in which any material non-public information known to you has become public or is no longer material.</w:t>
      </w:r>
    </w:p>
    <w:p>
      <w:pPr>
        <w:spacing w:after="0" w:line="176" w:lineRule="exact"/>
        <w:rPr>
          <w:sz w:val="20"/>
          <w:szCs w:val="20"/>
          <w:color w:val="auto"/>
        </w:rPr>
      </w:pPr>
    </w:p>
    <w:p>
      <w:pPr>
        <w:jc w:val="both"/>
        <w:ind w:left="760" w:hanging="752"/>
        <w:spacing w:after="0" w:line="246" w:lineRule="auto"/>
        <w:tabs>
          <w:tab w:leader="none" w:pos="7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Definition of “Material, Non-Public Information.” </w:t>
      </w:r>
      <w:r>
        <w:rPr>
          <w:rFonts w:ascii="Times New Roman" w:cs="Times New Roman" w:eastAsia="Times New Roman" w:hAnsi="Times New Roman"/>
          <w:sz w:val="22"/>
          <w:szCs w:val="22"/>
          <w:color w:val="auto"/>
        </w:rPr>
        <w:t>Information is “</w:t>
      </w:r>
      <w:r>
        <w:rPr>
          <w:rFonts w:ascii="Times New Roman" w:cs="Times New Roman" w:eastAsia="Times New Roman" w:hAnsi="Times New Roman"/>
          <w:sz w:val="22"/>
          <w:szCs w:val="22"/>
          <w:b w:val="1"/>
          <w:bCs w:val="1"/>
          <w:color w:val="auto"/>
        </w:rPr>
        <w:t>material</w:t>
      </w:r>
      <w:r>
        <w:rPr>
          <w:rFonts w:ascii="Times New Roman" w:cs="Times New Roman" w:eastAsia="Times New Roman" w:hAnsi="Times New Roman"/>
          <w:sz w:val="22"/>
          <w:szCs w:val="22"/>
          <w:color w:val="auto"/>
        </w:rPr>
        <w:t>” if its disclosure could reasonably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effect on the price of Nektar’s stock, if a reasonable person would consider it important in deciding whether to buy or sell Nektar stock, or if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85"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the disclosure of the information could reasonably be expected to significantly alter the total mix of information in the market about the Company. Both positive and negative information may be material. While it is not possible to identify all information that would be deemed “material,” common examples of “material” information include:</w:t>
      </w:r>
    </w:p>
    <w:p>
      <w:pPr>
        <w:spacing w:after="0" w:line="173" w:lineRule="exact"/>
        <w:rPr>
          <w:sz w:val="20"/>
          <w:szCs w:val="20"/>
          <w:color w:val="auto"/>
        </w:rPr>
      </w:pPr>
    </w:p>
    <w:p>
      <w:pPr>
        <w:ind w:left="1500" w:hanging="743"/>
        <w:spacing w:after="0"/>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concerning the clinical progress of a product;</w:t>
      </w:r>
    </w:p>
    <w:p>
      <w:pPr>
        <w:spacing w:after="0" w:line="14"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data or results of a clinical trial;</w:t>
      </w:r>
    </w:p>
    <w:p>
      <w:pPr>
        <w:ind w:left="1500" w:hanging="743"/>
        <w:spacing w:after="0" w:line="230"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safety issues that arise in clinical trials;</w:t>
      </w:r>
    </w:p>
    <w:p>
      <w:pPr>
        <w:ind w:left="1500" w:hanging="743"/>
        <w:spacing w:after="0" w:line="230"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communications with FDA or other regulators;</w:t>
      </w:r>
    </w:p>
    <w:p>
      <w:pPr>
        <w:ind w:left="1500" w:hanging="743"/>
        <w:spacing w:after="0" w:line="230"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manufacturing activity indicating level of partner sales;</w:t>
      </w:r>
    </w:p>
    <w:p>
      <w:pPr>
        <w:ind w:left="1500" w:hanging="743"/>
        <w:spacing w:after="0" w:line="230"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positive or negative news concerning a relationship with one of Nektar’s corporate partners;</w:t>
      </w:r>
    </w:p>
    <w:p>
      <w:pPr>
        <w:ind w:left="1500" w:hanging="743"/>
        <w:spacing w:after="0" w:line="230"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new products;</w:t>
      </w:r>
    </w:p>
    <w:p>
      <w:pPr>
        <w:ind w:left="1500" w:hanging="743"/>
        <w:spacing w:after="0" w:line="230"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revenue, investment or expense information, financial projections, or financial results including changes to previously announced financial results;</w:t>
      </w:r>
    </w:p>
    <w:p>
      <w:pPr>
        <w:spacing w:after="0" w:line="1"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pending or proposed mergers, acquisitions, alliances, other business combinations or collaborations, divestitures, bankruptcies or receiverships;</w:t>
      </w:r>
    </w:p>
    <w:p>
      <w:pPr>
        <w:spacing w:after="0" w:line="1" w:lineRule="exact"/>
        <w:rPr>
          <w:rFonts w:ascii="Times New Roman" w:cs="Times New Roman" w:eastAsia="Times New Roman" w:hAnsi="Times New Roman"/>
          <w:sz w:val="22"/>
          <w:szCs w:val="22"/>
          <w:color w:val="auto"/>
        </w:rPr>
      </w:pPr>
    </w:p>
    <w:p>
      <w:pPr>
        <w:ind w:left="1500" w:hanging="743"/>
        <w:spacing w:after="0" w:line="230"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patent developments;</w:t>
      </w:r>
    </w:p>
    <w:p>
      <w:pPr>
        <w:ind w:left="1500" w:hanging="743"/>
        <w:spacing w:after="0" w:line="230"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in proposed or pending litigation or government and regulatory investigations;</w:t>
      </w:r>
    </w:p>
    <w:p>
      <w:pPr>
        <w:ind w:left="1500" w:hanging="743"/>
        <w:spacing w:after="0" w:line="230" w:lineRule="auto"/>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cybersecurity risks and incidents, including the discovery of significant vulnerabilities or breaches; or</w:t>
      </w:r>
    </w:p>
    <w:p>
      <w:pPr>
        <w:ind w:left="1500" w:hanging="743"/>
        <w:spacing w:after="0"/>
        <w:tabs>
          <w:tab w:leader="none" w:pos="15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key personnel hires or departures.</w:t>
      </w:r>
    </w:p>
    <w:p>
      <w:pPr>
        <w:spacing w:after="0" w:line="182"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It can sometimes be difficult to know whether information would be considered “material.” The determination of whether information is material or not is almost always made after the fact, when the effect of that information on the market can be quantified. Although you may be aware of information that you do not consider to be material, federal regulators and others may conclude that such information was material. Therefore, trading in a company’s securities based on such information can be risky. When doubt exists, you should presume that the information is material.</w:t>
      </w:r>
    </w:p>
    <w:p>
      <w:pPr>
        <w:spacing w:after="0" w:line="173" w:lineRule="exact"/>
        <w:rPr>
          <w:sz w:val="20"/>
          <w:szCs w:val="20"/>
          <w:color w:val="auto"/>
        </w:rPr>
      </w:pPr>
    </w:p>
    <w:p>
      <w:pPr>
        <w:jc w:val="both"/>
        <w:ind w:left="760"/>
        <w:spacing w:after="0" w:line="250" w:lineRule="auto"/>
        <w:rPr>
          <w:sz w:val="20"/>
          <w:szCs w:val="20"/>
          <w:color w:val="auto"/>
        </w:rPr>
      </w:pPr>
      <w:r>
        <w:rPr>
          <w:rFonts w:ascii="Times New Roman" w:cs="Times New Roman" w:eastAsia="Times New Roman" w:hAnsi="Times New Roman"/>
          <w:sz w:val="21"/>
          <w:szCs w:val="21"/>
          <w:color w:val="auto"/>
        </w:rPr>
        <w:t>Information is “</w:t>
      </w:r>
      <w:r>
        <w:rPr>
          <w:rFonts w:ascii="Times New Roman" w:cs="Times New Roman" w:eastAsia="Times New Roman" w:hAnsi="Times New Roman"/>
          <w:sz w:val="21"/>
          <w:szCs w:val="21"/>
          <w:b w:val="1"/>
          <w:bCs w:val="1"/>
          <w:color w:val="auto"/>
        </w:rPr>
        <w:t>non-public</w:t>
      </w:r>
      <w:r>
        <w:rPr>
          <w:rFonts w:ascii="Times New Roman" w:cs="Times New Roman" w:eastAsia="Times New Roman" w:hAnsi="Times New Roman"/>
          <w:sz w:val="21"/>
          <w:szCs w:val="21"/>
          <w:color w:val="auto"/>
        </w:rPr>
        <w:t>” if it has not been announced publicly, such as by press release, conference call, public filing, conference presentation, or similar means of public dissemination, or, if it has been announced publicly, where the public has not had a reasonable opportunity to absorb the information. You must wait until the opening of the first full trading day following the day that information is publicly announced before you can trade. For example, if the information is publicly announced on Tuesday before the market opens, you cannot trade until the opening of the market on Wednesday (assuming no intervening holidays on which markets are closed between Tuesday and Wednesday).</w:t>
      </w:r>
    </w:p>
    <w:p>
      <w:pPr>
        <w:spacing w:after="0" w:line="165" w:lineRule="exact"/>
        <w:rPr>
          <w:sz w:val="20"/>
          <w:szCs w:val="20"/>
          <w:color w:val="auto"/>
        </w:rPr>
      </w:pPr>
    </w:p>
    <w:p>
      <w:pPr>
        <w:jc w:val="both"/>
        <w:ind w:left="760"/>
        <w:spacing w:after="0" w:line="262" w:lineRule="auto"/>
        <w:rPr>
          <w:sz w:val="20"/>
          <w:szCs w:val="20"/>
          <w:color w:val="auto"/>
        </w:rPr>
      </w:pPr>
      <w:r>
        <w:rPr>
          <w:rFonts w:ascii="Times New Roman" w:cs="Times New Roman" w:eastAsia="Times New Roman" w:hAnsi="Times New Roman"/>
          <w:sz w:val="22"/>
          <w:szCs w:val="22"/>
          <w:b w:val="1"/>
          <w:bCs w:val="1"/>
          <w:color w:val="auto"/>
        </w:rPr>
        <w:t>If you are unsure whether information is material or non-public, you should consult with Nektar’s General Counsel.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81" w:lineRule="exact"/>
        <w:rPr>
          <w:sz w:val="20"/>
          <w:szCs w:val="20"/>
          <w:color w:val="auto"/>
        </w:rPr>
      </w:pPr>
    </w:p>
    <w:p>
      <w:pPr>
        <w:ind w:left="760" w:hanging="752"/>
        <w:spacing w:after="0"/>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Restrictions Applicable to All Affiliates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38" w:lineRule="auto"/>
        <w:tabs>
          <w:tab w:leader="none" w:pos="150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Trading While in Possession of Material, Non-Public Information. </w:t>
      </w:r>
      <w:r>
        <w:rPr>
          <w:rFonts w:ascii="Times New Roman" w:cs="Times New Roman" w:eastAsia="Times New Roman" w:hAnsi="Times New Roman"/>
          <w:sz w:val="22"/>
          <w:szCs w:val="22"/>
          <w:color w:val="auto"/>
        </w:rPr>
        <w:t>You may not trade in Nektar’s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(whether for your account or for the account of another) while you possess information about Nektar that is both material and non-public, except for trades made pursuant to plans approved by the General Counsel in accordance with the Company’s Rule 10b5-1 Trading Plan Policy that is intended to comply with Rule 10b5-1 under the Securities and Exchange Act of 1934 (the “Exchange Act”).</w:t>
      </w:r>
    </w:p>
    <w:p>
      <w:pPr>
        <w:spacing w:after="0" w:line="180" w:lineRule="exact"/>
        <w:rPr>
          <w:rFonts w:ascii="Times New Roman" w:cs="Times New Roman" w:eastAsia="Times New Roman" w:hAnsi="Times New Roman"/>
          <w:sz w:val="22"/>
          <w:szCs w:val="22"/>
          <w:color w:val="auto"/>
        </w:rPr>
      </w:pPr>
    </w:p>
    <w:p>
      <w:pPr>
        <w:jc w:val="both"/>
        <w:ind w:left="150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Nektar’s securities include common stock, options to purchase common stock, any other type of securities that the Company may issue (such as preferred stock, convertible debentures, warrants and exchange-traded options), and any derivative securities that provide the economic equivalent of ownership of any the Company’s securities or an opportunity, direct or indirect, to profit from any change in the value of the Company’s securities. If you possess material, non-public information relating to Nektar, you are prohibited from buying or selling Nektar securities until the earlier of (a) the beginning of the first full trading day following the day in which the information is publicly announced or (b) such time as that non-public information is no longer material.</w:t>
      </w:r>
    </w:p>
    <w:p>
      <w:pPr>
        <w:spacing w:after="0" w:line="178" w:lineRule="exact"/>
        <w:rPr>
          <w:rFonts w:ascii="Times New Roman" w:cs="Times New Roman" w:eastAsia="Times New Roman" w:hAnsi="Times New Roman"/>
          <w:sz w:val="22"/>
          <w:szCs w:val="22"/>
          <w:color w:val="auto"/>
        </w:rPr>
      </w:pPr>
    </w:p>
    <w:p>
      <w:pPr>
        <w:jc w:val="both"/>
        <w:ind w:left="150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during the course of your employment with Nektar, possess material, non-public information of another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as a customer, vendor, supplier, business partner, potential business partner, or potential acquisition target), you are prohibited from buying or selling the securities of such company.</w:t>
      </w:r>
    </w:p>
    <w:p>
      <w:pPr>
        <w:spacing w:after="0" w:line="169" w:lineRule="exact"/>
        <w:rPr>
          <w:rFonts w:ascii="Times New Roman" w:cs="Times New Roman" w:eastAsia="Times New Roman" w:hAnsi="Times New Roman"/>
          <w:sz w:val="22"/>
          <w:szCs w:val="22"/>
          <w:color w:val="auto"/>
        </w:rPr>
      </w:pPr>
    </w:p>
    <w:p>
      <w:pPr>
        <w:jc w:val="both"/>
        <w:ind w:left="1500" w:hanging="743"/>
        <w:spacing w:after="0" w:line="248" w:lineRule="auto"/>
        <w:tabs>
          <w:tab w:leader="none" w:pos="1500"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 Tipping. </w:t>
      </w:r>
      <w:r>
        <w:rPr>
          <w:rFonts w:ascii="Times New Roman" w:cs="Times New Roman" w:eastAsia="Times New Roman" w:hAnsi="Times New Roman"/>
          <w:sz w:val="21"/>
          <w:szCs w:val="21"/>
          <w:color w:val="auto"/>
        </w:rPr>
        <w:t>You must not disclose or pass on (“tip”) material, non-public information, whether positive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negative, to any other person (including Affiliates, family members, friends and acquaintances) where such information may be used by the other person to trade in Nektar’s securities (or the securities of any other entity), whether or not you intend to or actually do realize a profit (or any other benefit) from such tipping. You are also prohibited from making recommendations, advising, “signaling,” or expressing opinions about trading, while aware of material, non-public information. You may, of course, discuss such information with other Nektar employees on a “need to know” basis and solely for the purpose of performing your job at Nektar.</w:t>
      </w:r>
    </w:p>
    <w:p>
      <w:pPr>
        <w:spacing w:after="0" w:line="174" w:lineRule="exact"/>
        <w:rPr>
          <w:rFonts w:ascii="Times New Roman" w:cs="Times New Roman" w:eastAsia="Times New Roman" w:hAnsi="Times New Roman"/>
          <w:sz w:val="21"/>
          <w:szCs w:val="21"/>
          <w:color w:val="auto"/>
        </w:rPr>
      </w:pPr>
    </w:p>
    <w:p>
      <w:pPr>
        <w:jc w:val="both"/>
        <w:ind w:left="1500"/>
        <w:spacing w:after="0" w:line="24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It should be noted that trading by members of an officer’s, director’s or employee’s household can be the responsibility of such officer, director or employee, respectively, under certain circumstances and could give rise to legal and company-imposed sanctions.</w:t>
      </w:r>
    </w:p>
    <w:p>
      <w:pPr>
        <w:spacing w:after="0" w:line="169" w:lineRule="exact"/>
        <w:rPr>
          <w:rFonts w:ascii="Times New Roman" w:cs="Times New Roman" w:eastAsia="Times New Roman" w:hAnsi="Times New Roman"/>
          <w:sz w:val="21"/>
          <w:szCs w:val="21"/>
          <w:color w:val="auto"/>
        </w:rPr>
      </w:pPr>
    </w:p>
    <w:p>
      <w:pPr>
        <w:jc w:val="both"/>
        <w:ind w:left="760" w:hanging="752"/>
        <w:spacing w:after="0" w:line="241" w:lineRule="auto"/>
        <w:tabs>
          <w:tab w:leader="none" w:pos="7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Safeguarding inside information. </w:t>
      </w:r>
      <w:r>
        <w:rPr>
          <w:rFonts w:ascii="Times New Roman" w:cs="Times New Roman" w:eastAsia="Times New Roman" w:hAnsi="Times New Roman"/>
          <w:sz w:val="22"/>
          <w:szCs w:val="22"/>
          <w:color w:val="auto"/>
        </w:rPr>
        <w:t>Before confidential information relating to Nektar or its business (including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non-public information) has been disclosed to the public, it must be kept in strict confidence. Utmost care must be exercised at all times. For example, conversations in public places, such as elevators, taxicabs or shared ride services, restaurants and airplanes should be limited to matters that do not involve information of 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85" w:lineRule="exact"/>
        <w:rPr>
          <w:sz w:val="20"/>
          <w:szCs w:val="20"/>
          <w:color w:val="auto"/>
        </w:rPr>
      </w:pPr>
    </w:p>
    <w:p>
      <w:pPr>
        <w:ind w:left="760"/>
        <w:spacing w:after="0" w:line="258" w:lineRule="auto"/>
        <w:rPr>
          <w:sz w:val="20"/>
          <w:szCs w:val="20"/>
          <w:color w:val="auto"/>
        </w:rPr>
      </w:pPr>
      <w:r>
        <w:rPr>
          <w:rFonts w:ascii="Times New Roman" w:cs="Times New Roman" w:eastAsia="Times New Roman" w:hAnsi="Times New Roman"/>
          <w:sz w:val="22"/>
          <w:szCs w:val="22"/>
          <w:color w:val="auto"/>
        </w:rPr>
        <w:t>sensitive or confidential nature. In addition, do not transmit confidential information through the Internet or any unsecure e-mail system or other means that is not secure.</w:t>
      </w:r>
    </w:p>
    <w:p>
      <w:pPr>
        <w:spacing w:after="0" w:line="154" w:lineRule="exact"/>
        <w:rPr>
          <w:sz w:val="20"/>
          <w:szCs w:val="20"/>
          <w:color w:val="auto"/>
        </w:rPr>
      </w:pPr>
    </w:p>
    <w:p>
      <w:pPr>
        <w:jc w:val="both"/>
        <w:ind w:left="760" w:hanging="752"/>
        <w:spacing w:after="0" w:line="241" w:lineRule="auto"/>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Releasing public information to the market. </w:t>
      </w:r>
      <w:r>
        <w:rPr>
          <w:rFonts w:ascii="Times New Roman" w:cs="Times New Roman" w:eastAsia="Times New Roman" w:hAnsi="Times New Roman"/>
          <w:sz w:val="22"/>
          <w:szCs w:val="22"/>
          <w:color w:val="auto"/>
        </w:rPr>
        <w:t>To ensure that Nektar’s confidential information is protected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maximum extent possible, no individuals other than specifically authorized personnel should release material information to the public or respond to inquiries from the media, investment analysts or other market participants, or others outside Nektar.</w:t>
      </w:r>
    </w:p>
    <w:p>
      <w:pPr>
        <w:spacing w:after="0" w:line="175" w:lineRule="exact"/>
        <w:rPr>
          <w:rFonts w:ascii="Times New Roman" w:cs="Times New Roman" w:eastAsia="Times New Roman" w:hAnsi="Times New Roman"/>
          <w:sz w:val="22"/>
          <w:szCs w:val="22"/>
          <w:color w:val="auto"/>
        </w:rPr>
      </w:pPr>
    </w:p>
    <w:p>
      <w:pPr>
        <w:jc w:val="both"/>
        <w:ind w:left="7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contacted by anyone outside the company seeking information about Nektar, and if you have not been expressly authorized to provide information by the Chief Executive Officer, Chief Financial Officer or Head of Investor Relations, you should refer the call to the Head of Investor Relations or the Chief Financial Officer. Please see Nektar’s Corporate Disclosure Policy.</w:t>
      </w:r>
    </w:p>
    <w:p>
      <w:pPr>
        <w:spacing w:after="0" w:line="176"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Blackout Periods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500" w:hanging="743"/>
        <w:spacing w:after="0" w:line="246" w:lineRule="auto"/>
        <w:tabs>
          <w:tab w:leader="none" w:pos="15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Restricted Persons may buy or sell only when trading window period is open. </w:t>
      </w:r>
      <w:r>
        <w:rPr>
          <w:rFonts w:ascii="Times New Roman" w:cs="Times New Roman" w:eastAsia="Times New Roman" w:hAnsi="Times New Roman"/>
          <w:sz w:val="22"/>
          <w:szCs w:val="22"/>
          <w:color w:val="auto"/>
        </w:rPr>
        <w:t>Nektar has determined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individuals (“Restricted Persons”) and their Affiliates may buy or sell Nektar securities only when the trading window period is open. You are a “Restricted Person” if you are:</w:t>
      </w:r>
    </w:p>
    <w:p>
      <w:pPr>
        <w:spacing w:after="0" w:line="171"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Board member of Nektar;</w:t>
      </w:r>
    </w:p>
    <w:p>
      <w:pPr>
        <w:spacing w:after="0" w:line="14" w:lineRule="exact"/>
        <w:rPr>
          <w:rFonts w:ascii="Times New Roman" w:cs="Times New Roman" w:eastAsia="Times New Roman" w:hAnsi="Times New Roman"/>
          <w:sz w:val="22"/>
          <w:szCs w:val="22"/>
          <w:color w:val="auto"/>
        </w:rPr>
      </w:pPr>
    </w:p>
    <w:p>
      <w:pPr>
        <w:jc w:val="both"/>
        <w:ind w:left="1880" w:hanging="375"/>
        <w:spacing w:after="0" w:line="230" w:lineRule="auto"/>
        <w:tabs>
          <w:tab w:leader="none" w:pos="188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“executive officer” of Nektar as described in Rule 3b-7 under the Securities Exchange Act, and all individuals designated as “officers” of Nektar for purposes of Section 16 under the Exchange Act (“Section 16 Officers”);</w:t>
      </w:r>
    </w:p>
    <w:p>
      <w:pPr>
        <w:spacing w:after="0" w:line="1" w:lineRule="exact"/>
        <w:rPr>
          <w:rFonts w:ascii="Times New Roman" w:cs="Times New Roman" w:eastAsia="Times New Roman" w:hAnsi="Times New Roman"/>
          <w:sz w:val="22"/>
          <w:szCs w:val="22"/>
          <w:color w:val="auto"/>
        </w:rPr>
      </w:pPr>
    </w:p>
    <w:p>
      <w:pPr>
        <w:ind w:left="1880" w:hanging="375"/>
        <w:spacing w:after="0" w:line="230" w:lineRule="auto"/>
        <w:tabs>
          <w:tab w:leader="none" w:pos="188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of Nektar with a title of vice president or above;</w:t>
      </w:r>
    </w:p>
    <w:p>
      <w:pPr>
        <w:ind w:left="1880" w:hanging="375"/>
        <w:spacing w:after="0" w:line="230" w:lineRule="auto"/>
        <w:tabs>
          <w:tab w:leader="none" w:pos="188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who works in the legal, finance or investor relations department of Nektar;</w:t>
      </w:r>
    </w:p>
    <w:p>
      <w:pPr>
        <w:ind w:left="1880" w:hanging="375"/>
        <w:spacing w:after="0"/>
        <w:tabs>
          <w:tab w:leader="none" w:pos="1880"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designated as a Restricted Person by the General Counsel in his or her sole discretion.</w:t>
      </w:r>
    </w:p>
    <w:p>
      <w:pPr>
        <w:spacing w:after="0" w:line="182" w:lineRule="exact"/>
        <w:rPr>
          <w:sz w:val="20"/>
          <w:szCs w:val="20"/>
          <w:color w:val="auto"/>
        </w:rPr>
      </w:pPr>
    </w:p>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In addition to being a Restricted Person, Nektar has determined that certain individuals, (“Senior Restricted Persons”) must enter into a trading plan entered into in accordance with Rule 10b5-1 under the Exchange Act (“Trading Plan”) in order to buy or sell Nektar securities. For more details on Trading Plans, see Paragraph 17 and Nektar’s Rule 10b5-1 Trading Plan Policy.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You are a “Senior Restricted Person” if you are:</w:t>
      </w:r>
    </w:p>
    <w:p>
      <w:pPr>
        <w:spacing w:after="0" w:line="206" w:lineRule="exact"/>
        <w:rPr>
          <w:sz w:val="20"/>
          <w:szCs w:val="20"/>
          <w:color w:val="auto"/>
        </w:rPr>
      </w:pPr>
    </w:p>
    <w:p>
      <w:pPr>
        <w:ind w:left="1880" w:hanging="375"/>
        <w:spacing w:after="0"/>
        <w:tabs>
          <w:tab w:leader="none" w:pos="18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Board member of Nektar;</w:t>
      </w:r>
    </w:p>
    <w:p>
      <w:pPr>
        <w:spacing w:after="0" w:line="14" w:lineRule="exact"/>
        <w:rPr>
          <w:rFonts w:ascii="Times New Roman" w:cs="Times New Roman" w:eastAsia="Times New Roman" w:hAnsi="Times New Roman"/>
          <w:sz w:val="22"/>
          <w:szCs w:val="22"/>
          <w:color w:val="auto"/>
        </w:rPr>
      </w:pPr>
    </w:p>
    <w:p>
      <w:pPr>
        <w:ind w:left="1880" w:hanging="375"/>
        <w:spacing w:after="0" w:line="230" w:lineRule="auto"/>
        <w:tabs>
          <w:tab w:leader="none" w:pos="18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“executive officer” of Nektar as described in Rule 3b-7 under the Exchange Act, and all Section 16 Officers;</w:t>
      </w:r>
    </w:p>
    <w:p>
      <w:pPr>
        <w:spacing w:after="0" w:line="1"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of Nektar with a title of Senior Vice president or above.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1" w:lineRule="exact"/>
        <w:rPr>
          <w:sz w:val="20"/>
          <w:szCs w:val="20"/>
          <w:color w:val="auto"/>
        </w:rPr>
      </w:pPr>
    </w:p>
    <w:p>
      <w:pPr>
        <w:jc w:val="both"/>
        <w:ind w:left="1500" w:hanging="743"/>
        <w:spacing w:after="0" w:line="256" w:lineRule="auto"/>
        <w:tabs>
          <w:tab w:leader="none" w:pos="150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Trading Windows. </w:t>
      </w:r>
      <w:r>
        <w:rPr>
          <w:rFonts w:ascii="Times New Roman" w:cs="Times New Roman" w:eastAsia="Times New Roman" w:hAnsi="Times New Roman"/>
          <w:sz w:val="21"/>
          <w:szCs w:val="21"/>
          <w:color w:val="auto"/>
        </w:rPr>
        <w:t>Trading window periods are those periods of time during which Restricted Persons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permitted to trade Nektar securities. At these times, the “window” is said to be “open.” Trading window periods will be emailed to Restricted Persons. The periods of time when the trading window is closed is referred to as a “Blackout Period.” All Restricted Persons may not buy or sell Nektar stock during any Blackout Period.</w:t>
      </w:r>
    </w:p>
    <w:p>
      <w:pPr>
        <w:spacing w:after="0" w:line="157" w:lineRule="exact"/>
        <w:rPr>
          <w:rFonts w:ascii="Times New Roman" w:cs="Times New Roman" w:eastAsia="Times New Roman" w:hAnsi="Times New Roman"/>
          <w:sz w:val="21"/>
          <w:szCs w:val="21"/>
          <w:color w:val="auto"/>
        </w:rPr>
      </w:pPr>
    </w:p>
    <w:p>
      <w:pPr>
        <w:jc w:val="both"/>
        <w:ind w:left="1500" w:hanging="743"/>
        <w:spacing w:after="0" w:line="241" w:lineRule="auto"/>
        <w:tabs>
          <w:tab w:leader="none" w:pos="150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Standing Blackout Periods</w:t>
      </w:r>
      <w:r>
        <w:rPr>
          <w:rFonts w:ascii="Times New Roman" w:cs="Times New Roman" w:eastAsia="Times New Roman" w:hAnsi="Times New Roman"/>
          <w:sz w:val="21"/>
          <w:szCs w:val="21"/>
          <w:color w:val="auto"/>
        </w:rPr>
        <w:t>. There will be routine quarterly Blackout Periods which will run from the fifteenth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of the month in which each fiscal quarter ends until the opening of the first full trading day following the day on which the public release of Nektar’s earnings relating to such period is issued (a “Quarterly Blackout Period”). Restricted Persons and Senior Restricted Persons may not trade during any Quarterly Blackout Period even if they do not possess any material, non-public information. This requirement does not apply to the exercise of Nektar employee stock options as long as payment of the exercise price is made by the employee to the Company in cash; however, this requirement does apply to any sale of Nektar securities to pay part or all of the exercise price of a stock option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a broker-assisted cashless exercise of stock options). In other words, Restricted Persons and Senior Restricted Persons are permitted to exercise and hold Nektar employee stock options even during a Blackout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a Quarterly Blackout Period). Restricted Persons may not sell any stock acquired through the exercise of an option during a Blackout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a Quarterly Blackout Period).</w:t>
      </w:r>
    </w:p>
    <w:p>
      <w:pPr>
        <w:spacing w:after="0" w:line="179" w:lineRule="exact"/>
        <w:rPr>
          <w:rFonts w:ascii="Times New Roman" w:cs="Times New Roman" w:eastAsia="Times New Roman" w:hAnsi="Times New Roman"/>
          <w:sz w:val="21"/>
          <w:szCs w:val="21"/>
          <w:color w:val="auto"/>
        </w:rPr>
      </w:pPr>
    </w:p>
    <w:p>
      <w:pPr>
        <w:jc w:val="both"/>
        <w:ind w:left="1500" w:hanging="743"/>
        <w:spacing w:after="0" w:line="235" w:lineRule="auto"/>
        <w:tabs>
          <w:tab w:leader="none" w:pos="15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Special Blackout Periods</w:t>
      </w:r>
      <w:r>
        <w:rPr>
          <w:rFonts w:ascii="Times New Roman" w:cs="Times New Roman" w:eastAsia="Times New Roman" w:hAnsi="Times New Roman"/>
          <w:sz w:val="22"/>
          <w:szCs w:val="22"/>
          <w:color w:val="auto"/>
        </w:rPr>
        <w:t>. From time to time, Nektar may impose a “blackout” period during which trading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specified group of insiders or all insiders would be considered inappropriate. Nektar’s Chief Financial Officer or its General Counsel will communicate the imposition or extension of such a blackout period to all affected parties (a “Special Blackout Period”). Individuals subject to a Special Blackout Period may not disclose the fact that they are subject to a Special Blackout Period to anyone, including other employees (who may themselves be subject to the Special Blackout Period), family members (other than those subject to this Policy), friends or financial advisers/stock brokers. The imposition of a Special Blackout Period shall be treated as material non-public information.</w:t>
      </w:r>
    </w:p>
    <w:p>
      <w:pPr>
        <w:spacing w:after="0" w:line="178" w:lineRule="exact"/>
        <w:rPr>
          <w:rFonts w:ascii="Times New Roman" w:cs="Times New Roman" w:eastAsia="Times New Roman" w:hAnsi="Times New Roman"/>
          <w:sz w:val="22"/>
          <w:szCs w:val="22"/>
          <w:color w:val="auto"/>
        </w:rPr>
      </w:pPr>
    </w:p>
    <w:p>
      <w:pPr>
        <w:jc w:val="both"/>
        <w:ind w:left="150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Conference-related Blackout Periods</w:t>
      </w:r>
      <w:r>
        <w:rPr>
          <w:rFonts w:ascii="Times New Roman" w:cs="Times New Roman" w:eastAsia="Times New Roman" w:hAnsi="Times New Roman"/>
          <w:sz w:val="22"/>
          <w:szCs w:val="22"/>
          <w:color w:val="auto"/>
        </w:rPr>
        <w:t>. Restricted Persons and Senior Restricted Persons are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Blackout Periods that will run from three (3) trading days before, and one (1) trading day after, the following pre-scheduled industry conferences (“Conference-Related Blackout Periods”):</w:t>
      </w:r>
    </w:p>
    <w:p>
      <w:pPr>
        <w:spacing w:after="0" w:line="171"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J.P. Morgan Healthcare Conference;</w:t>
      </w:r>
    </w:p>
    <w:p>
      <w:pPr>
        <w:spacing w:after="0" w:line="14" w:lineRule="exact"/>
        <w:rPr>
          <w:rFonts w:ascii="Times New Roman" w:cs="Times New Roman" w:eastAsia="Times New Roman" w:hAnsi="Times New Roman"/>
          <w:sz w:val="22"/>
          <w:szCs w:val="22"/>
          <w:color w:val="auto"/>
        </w:rPr>
      </w:pPr>
    </w:p>
    <w:p>
      <w:pPr>
        <w:ind w:left="1880" w:hanging="375"/>
        <w:spacing w:after="0" w:line="230" w:lineRule="auto"/>
        <w:tabs>
          <w:tab w:leader="none" w:pos="18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Cowen &amp; Co. Annual Health Care Conference; and</w:t>
      </w:r>
    </w:p>
    <w:p>
      <w:pPr>
        <w:ind w:left="1880" w:hanging="375"/>
        <w:spacing w:after="0"/>
        <w:tabs>
          <w:tab w:leader="none" w:pos="18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American Academy of Dermatology (AAD) Annual Meeting.</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5" w:lineRule="exact"/>
        <w:rPr>
          <w:sz w:val="20"/>
          <w:szCs w:val="20"/>
          <w:color w:val="auto"/>
        </w:rPr>
      </w:pPr>
    </w:p>
    <w:p>
      <w:pPr>
        <w:jc w:val="both"/>
        <w:ind w:left="1500"/>
        <w:spacing w:after="0" w:line="238" w:lineRule="auto"/>
        <w:rPr>
          <w:sz w:val="20"/>
          <w:szCs w:val="20"/>
          <w:color w:val="auto"/>
        </w:rPr>
      </w:pPr>
      <w:r>
        <w:rPr>
          <w:rFonts w:ascii="Times New Roman" w:cs="Times New Roman" w:eastAsia="Times New Roman" w:hAnsi="Times New Roman"/>
          <w:sz w:val="22"/>
          <w:szCs w:val="22"/>
          <w:color w:val="auto"/>
        </w:rPr>
        <w:t>Restricted Persons and Senior Restricted Persons may not trade or schedule trades pursuant to a Trading Plan during the Conference-related Blackout Periods, even if they don’t possess any material, non-public information. The General Counsel may, in his or her sole discretion, modify the pre-scheduled industry conferences based on the relevance of these conferences to the Company’s business, and may further designate additional medical, analyst, or industry conferences subject to Conference-Related Blackouts.</w:t>
      </w:r>
    </w:p>
    <w:p>
      <w:pPr>
        <w:spacing w:after="0" w:line="173" w:lineRule="exact"/>
        <w:rPr>
          <w:sz w:val="20"/>
          <w:szCs w:val="20"/>
          <w:color w:val="auto"/>
        </w:rPr>
      </w:pPr>
    </w:p>
    <w:p>
      <w:pPr>
        <w:jc w:val="both"/>
        <w:ind w:left="760" w:hanging="752"/>
        <w:spacing w:after="0" w:line="248" w:lineRule="exact"/>
        <w:tabs>
          <w:tab w:leader="none" w:pos="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Pre-Clearance of Trades by Restricted Persons at the Vice President level: </w:t>
      </w:r>
      <w:r>
        <w:rPr>
          <w:rFonts w:ascii="Times New Roman" w:cs="Times New Roman" w:eastAsia="Times New Roman" w:hAnsi="Times New Roman"/>
          <w:sz w:val="22"/>
          <w:szCs w:val="22"/>
          <w:color w:val="auto"/>
        </w:rPr>
        <w:t>Prior to making any trade in Nektar’s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other than pursuant to a validly entered into Rule 10b5</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Trading Plan, any Restricted Person who is an employee of Nektar with a title of vice president (“VP Restricted Person”) must first obtain the written authorization of the General Counsel, in accordance with the procedures described below. In addition, such advance approval must be obtained before buying or selling securities in any company that the VP Restricted Person knows has established or is in the process of establishing a significant business relationship with the Company, whether as a customer, supplier, affiliate or otherwise. The VP Restricted Person must contact the General Counsel at least two (2) business days before the intended purchase or sale in order to allow the General Counsel to review the substance of the trade and determine whether or not the Company or the individual must comply with any reporting requirements. If the proposed transaction is approved, the VP Restricted Person shall confirm in writing to the General Counsel that purchase or sale was consummated within two (2) business days of the transaction.</w:t>
      </w:r>
    </w:p>
    <w:p>
      <w:pPr>
        <w:spacing w:after="0" w:line="181"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Gifts of Company securities are considered a trade in securities for purposes of this Policy.</w:t>
      </w:r>
    </w:p>
    <w:p>
      <w:pPr>
        <w:spacing w:after="0" w:line="202"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1"/>
          <w:szCs w:val="21"/>
          <w:b w:val="1"/>
          <w:bCs w:val="1"/>
          <w:color w:val="auto"/>
        </w:rPr>
        <w:t xml:space="preserve">Procedures. </w:t>
      </w:r>
      <w:r>
        <w:rPr>
          <w:rFonts w:ascii="Times New Roman" w:cs="Times New Roman" w:eastAsia="Times New Roman" w:hAnsi="Times New Roman"/>
          <w:sz w:val="21"/>
          <w:szCs w:val="21"/>
          <w:color w:val="auto"/>
        </w:rPr>
        <w:t>No VP Restricted Person may trade in our securities unless:</w:t>
      </w:r>
    </w:p>
    <w:p>
      <w:pPr>
        <w:spacing w:after="0" w:line="210" w:lineRule="exact"/>
        <w:rPr>
          <w:rFonts w:ascii="Times New Roman" w:cs="Times New Roman" w:eastAsia="Times New Roman" w:hAnsi="Times New Roman"/>
          <w:sz w:val="22"/>
          <w:szCs w:val="22"/>
          <w:color w:val="auto"/>
        </w:rPr>
      </w:pPr>
    </w:p>
    <w:p>
      <w:pPr>
        <w:ind w:left="1880" w:hanging="375"/>
        <w:spacing w:after="0" w:line="241" w:lineRule="auto"/>
        <w:tabs>
          <w:tab w:leader="none" w:pos="1880"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VP Restricted Person has notified the General Counsel of the amount and nature of the proposed trade(s) using the Stock Transaction Request form attached to this Policy.</w:t>
      </w:r>
    </w:p>
    <w:p>
      <w:pPr>
        <w:spacing w:after="0" w:line="1" w:lineRule="exact"/>
        <w:rPr>
          <w:rFonts w:ascii="Times New Roman" w:cs="Times New Roman" w:eastAsia="Times New Roman" w:hAnsi="Times New Roman"/>
          <w:sz w:val="22"/>
          <w:szCs w:val="22"/>
          <w:color w:val="auto"/>
        </w:rPr>
      </w:pPr>
    </w:p>
    <w:p>
      <w:pPr>
        <w:ind w:left="1880" w:hanging="375"/>
        <w:spacing w:after="0" w:line="230" w:lineRule="auto"/>
        <w:tabs>
          <w:tab w:leader="none" w:pos="1880"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VP Restricted Person has certified to the General Counsel in writing before the proposed trade(s) that the VP Restricted Person does not possess material nonpublic information concerning the Company.</w:t>
      </w:r>
    </w:p>
    <w:p>
      <w:pPr>
        <w:spacing w:after="0" w:line="1" w:lineRule="exact"/>
        <w:rPr>
          <w:rFonts w:ascii="Times New Roman" w:cs="Times New Roman" w:eastAsia="Times New Roman" w:hAnsi="Times New Roman"/>
          <w:sz w:val="22"/>
          <w:szCs w:val="22"/>
          <w:color w:val="auto"/>
        </w:rPr>
      </w:pPr>
    </w:p>
    <w:p>
      <w:pPr>
        <w:ind w:left="1880" w:hanging="375"/>
        <w:spacing w:after="0" w:line="237" w:lineRule="auto"/>
        <w:tabs>
          <w:tab w:leader="none" w:pos="1880"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General Counsel has approved the trade(s) and has certified their approval in writing (which may be by email).</w:t>
      </w:r>
    </w:p>
    <w:p>
      <w:pPr>
        <w:spacing w:after="0" w:line="178" w:lineRule="exact"/>
        <w:rPr>
          <w:sz w:val="20"/>
          <w:szCs w:val="20"/>
          <w:color w:val="auto"/>
        </w:rPr>
      </w:pPr>
    </w:p>
    <w:p>
      <w:pPr>
        <w:ind w:left="1500"/>
        <w:spacing w:after="0" w:line="258" w:lineRule="auto"/>
        <w:rPr>
          <w:sz w:val="20"/>
          <w:szCs w:val="20"/>
          <w:color w:val="auto"/>
        </w:rPr>
      </w:pPr>
      <w:r>
        <w:rPr>
          <w:rFonts w:ascii="Times New Roman" w:cs="Times New Roman" w:eastAsia="Times New Roman" w:hAnsi="Times New Roman"/>
          <w:sz w:val="22"/>
          <w:szCs w:val="22"/>
          <w:color w:val="auto"/>
        </w:rPr>
        <w:t>The General Counsel does not assume responsibility for, and approval by the General Counsel does not protect the VP Restricted Person from, the consequences of prohibited insider trading.</w:t>
      </w:r>
    </w:p>
    <w:p>
      <w:pPr>
        <w:spacing w:after="0" w:line="154" w:lineRule="exact"/>
        <w:rPr>
          <w:sz w:val="20"/>
          <w:szCs w:val="20"/>
          <w:color w:val="auto"/>
        </w:rPr>
      </w:pPr>
    </w:p>
    <w:p>
      <w:pPr>
        <w:jc w:val="both"/>
        <w:ind w:left="1500" w:hanging="743"/>
        <w:spacing w:after="0" w:line="246" w:lineRule="auto"/>
        <w:tabs>
          <w:tab w:leader="none" w:pos="15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Additional Information. </w:t>
      </w:r>
      <w:r>
        <w:rPr>
          <w:rFonts w:ascii="Times New Roman" w:cs="Times New Roman" w:eastAsia="Times New Roman" w:hAnsi="Times New Roman"/>
          <w:sz w:val="22"/>
          <w:szCs w:val="22"/>
          <w:color w:val="auto"/>
        </w:rPr>
        <w:t>VP Restricted Persons shall provide to the General Counsel any documentation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General Counsel reasonably requires in furtherance of the foregoing procedures. Any failure to provide such information will be grounds for the General Counsel to deny approval of the trade request.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1" w:lineRule="exact"/>
        <w:rPr>
          <w:sz w:val="20"/>
          <w:szCs w:val="20"/>
          <w:color w:val="auto"/>
        </w:rPr>
      </w:pPr>
    </w:p>
    <w:p>
      <w:pPr>
        <w:jc w:val="both"/>
        <w:ind w:left="1500" w:hanging="743"/>
        <w:spacing w:after="0" w:line="241" w:lineRule="auto"/>
        <w:tabs>
          <w:tab w:leader="none" w:pos="15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Notification of Brokers of Insider Status. </w:t>
      </w:r>
      <w:r>
        <w:rPr>
          <w:rFonts w:ascii="Times New Roman" w:cs="Times New Roman" w:eastAsia="Times New Roman" w:hAnsi="Times New Roman"/>
          <w:sz w:val="22"/>
          <w:szCs w:val="22"/>
          <w:color w:val="auto"/>
        </w:rPr>
        <w:t>Senior Restricted Persons who are required to file reports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16 of the Exchange Act shall inform their broker-dealers that (a) the Senior Restricted Person is subject to Section 16; and (b) the broker is to provide transaction information to the Senior Restricted Person and/or General Counsel on the day of a trade.</w:t>
      </w:r>
    </w:p>
    <w:p>
      <w:pPr>
        <w:spacing w:after="0" w:line="169" w:lineRule="exact"/>
        <w:rPr>
          <w:rFonts w:ascii="Times New Roman" w:cs="Times New Roman" w:eastAsia="Times New Roman" w:hAnsi="Times New Roman"/>
          <w:sz w:val="22"/>
          <w:szCs w:val="22"/>
          <w:color w:val="auto"/>
        </w:rPr>
      </w:pPr>
    </w:p>
    <w:p>
      <w:pPr>
        <w:ind w:left="1500" w:right="20" w:hanging="743"/>
        <w:spacing w:after="0" w:line="264" w:lineRule="auto"/>
        <w:tabs>
          <w:tab w:leader="none" w:pos="15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Obligation to Approve Trades. </w:t>
      </w:r>
      <w:r>
        <w:rPr>
          <w:rFonts w:ascii="Times New Roman" w:cs="Times New Roman" w:eastAsia="Times New Roman" w:hAnsi="Times New Roman"/>
          <w:sz w:val="22"/>
          <w:szCs w:val="22"/>
          <w:color w:val="auto"/>
        </w:rPr>
        <w:t>The foregoing approval procedures do not in any way obligate the General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Counsel to approve any trade. The General Counsel has sole discretion to reject any trading request.</w:t>
      </w:r>
    </w:p>
    <w:p>
      <w:pPr>
        <w:spacing w:after="0" w:line="151" w:lineRule="exact"/>
        <w:rPr>
          <w:rFonts w:ascii="Times New Roman" w:cs="Times New Roman" w:eastAsia="Times New Roman" w:hAnsi="Times New Roman"/>
          <w:sz w:val="22"/>
          <w:szCs w:val="22"/>
          <w:color w:val="auto"/>
        </w:rPr>
      </w:pPr>
    </w:p>
    <w:p>
      <w:pPr>
        <w:jc w:val="both"/>
        <w:ind w:left="150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From time to time, an event may occur that is material to the Company and is known by only a limited number of directors and employees. The General Counsel may decline a VP Restricted Person’s request to preclear a proposed trade based on the existence of a material nonpublic development – even if the VP Restricted Person is not aware of that material nonpublic development. If any VP Restricted Person engages in a trade before a material nonpublic development is disclosed to the public or resolved, the VP Restricted Person and the Company might be exposed to a charge of insider trading that could be costly and difficult to refute even if the VP Restricted Person was unaware of the development. So long as the event remains material and nonpublic, the General Counsel may decide not to approve any transactions in the Company’s securities. The General Counsel will subsequently notify the VP Restricted Person once the material nonpublic development is disclosed to the public or resolved. If a VP Restricted Person requests preclearance of a trade during the pendency of such an event, the General Counsel may reject the trading request without disclosing the reason.</w:t>
      </w:r>
    </w:p>
    <w:p>
      <w:pPr>
        <w:spacing w:after="0" w:line="173" w:lineRule="exact"/>
        <w:rPr>
          <w:rFonts w:ascii="Times New Roman" w:cs="Times New Roman" w:eastAsia="Times New Roman" w:hAnsi="Times New Roman"/>
          <w:sz w:val="22"/>
          <w:szCs w:val="22"/>
          <w:color w:val="auto"/>
        </w:rPr>
      </w:pPr>
    </w:p>
    <w:p>
      <w:pPr>
        <w:jc w:val="both"/>
        <w:ind w:left="1500" w:hanging="743"/>
        <w:spacing w:after="0" w:line="237" w:lineRule="auto"/>
        <w:tabs>
          <w:tab w:leader="none" w:pos="15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Completion of Trades. </w:t>
      </w:r>
      <w:r>
        <w:rPr>
          <w:rFonts w:ascii="Times New Roman" w:cs="Times New Roman" w:eastAsia="Times New Roman" w:hAnsi="Times New Roman"/>
          <w:sz w:val="22"/>
          <w:szCs w:val="22"/>
          <w:color w:val="auto"/>
        </w:rPr>
        <w:t>After receiving written clearance to engage in a trade signed by the General Counsel,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VP Restricted Person must complete the proposed trade within two (2) business days or make a new trading request. Even if the VP Restricted Person has received clearance, the VP Restricted Person may not engage in a trade if (i) such clearance has been rescinded by the General Counsel, (ii) the VP Restricted Person has otherwise received notice that the trading window has closed or (iii) the VP Restricted Person has or acquires material nonpublic information.</w:t>
      </w:r>
    </w:p>
    <w:p>
      <w:pPr>
        <w:spacing w:after="0" w:line="175" w:lineRule="exact"/>
        <w:rPr>
          <w:rFonts w:ascii="Times New Roman" w:cs="Times New Roman" w:eastAsia="Times New Roman" w:hAnsi="Times New Roman"/>
          <w:sz w:val="22"/>
          <w:szCs w:val="22"/>
          <w:color w:val="auto"/>
        </w:rPr>
      </w:pPr>
    </w:p>
    <w:p>
      <w:pPr>
        <w:jc w:val="both"/>
        <w:ind w:left="1500" w:hanging="743"/>
        <w:spacing w:after="0" w:line="247" w:lineRule="auto"/>
        <w:tabs>
          <w:tab w:leader="none" w:pos="150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Post-Trade Reporting</w:t>
      </w:r>
      <w:r>
        <w:rPr>
          <w:rFonts w:ascii="Times New Roman" w:cs="Times New Roman" w:eastAsia="Times New Roman" w:hAnsi="Times New Roman"/>
          <w:sz w:val="21"/>
          <w:szCs w:val="21"/>
          <w:color w:val="auto"/>
        </w:rPr>
        <w:t>. The details of any transactions in our securities (including transactions effected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a Rule 10b5-1 Plan) by a Senior Restricted Person (or an Affiliated Person) who is required to file reports under Section 16 of the Exchange Act must be reported to the General Counsel by the Senior Restricted Person or their brokerage firm on the same day on which a trade order is placed or such a transaction otherwise is entered into. The report shall include the date of the transaction, quantity of shares, the price and the name of the broker-dealer that effected the transaction. This reporting requirement may be satisfied by providing (or having the Senior Restricted Person’s broker provide) a trade order confirmation to the General Counsel if the General Counsel receives such information by the required date. Compliance by directors and executive officers with this provision is imperative given the requirement of Section 16 of the Exchange Act that these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85" w:lineRule="exact"/>
        <w:rPr>
          <w:sz w:val="20"/>
          <w:szCs w:val="20"/>
          <w:color w:val="auto"/>
        </w:rPr>
      </w:pPr>
    </w:p>
    <w:p>
      <w:pPr>
        <w:jc w:val="both"/>
        <w:ind w:left="1500"/>
        <w:spacing w:after="0" w:line="239" w:lineRule="auto"/>
        <w:rPr>
          <w:sz w:val="20"/>
          <w:szCs w:val="20"/>
          <w:color w:val="auto"/>
        </w:rPr>
      </w:pPr>
      <w:r>
        <w:rPr>
          <w:rFonts w:ascii="Times New Roman" w:cs="Times New Roman" w:eastAsia="Times New Roman" w:hAnsi="Times New Roman"/>
          <w:sz w:val="22"/>
          <w:szCs w:val="22"/>
          <w:color w:val="auto"/>
        </w:rPr>
        <w:t>persons generally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76" w:lineRule="exact"/>
        <w:rPr>
          <w:sz w:val="20"/>
          <w:szCs w:val="20"/>
          <w:color w:val="auto"/>
        </w:rPr>
      </w:pPr>
    </w:p>
    <w:p>
      <w:pPr>
        <w:jc w:val="both"/>
        <w:ind w:left="760" w:hanging="752"/>
        <w:spacing w:after="0" w:line="236" w:lineRule="auto"/>
        <w:tabs>
          <w:tab w:leader="none" w:pos="7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Trading in Derivative Securities. </w:t>
      </w:r>
      <w:r>
        <w:rPr>
          <w:rFonts w:ascii="Times New Roman" w:cs="Times New Roman" w:eastAsia="Times New Roman" w:hAnsi="Times New Roman"/>
          <w:sz w:val="22"/>
          <w:szCs w:val="22"/>
          <w:color w:val="auto"/>
        </w:rPr>
        <w:t>You are prohibited from trading in derivative securities of Nektar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derivative securities that provide the economic equivalent of ownership of any of Nektar’s securities or an opportunity, direct or indirect, to profit from any change in the value of our securities or engage in any other hedging transaction with respect to our securities, at any time. Derivative securities are securities other than common stock that are speculative in nature because they permit a person to leverage his or her investment using a relatively small amount of money. Examples of derivative securities include put and call options. These are different from employee stock options, which are not derivative securities.</w:t>
      </w:r>
    </w:p>
    <w:p>
      <w:pPr>
        <w:spacing w:after="0" w:line="175" w:lineRule="exact"/>
        <w:rPr>
          <w:rFonts w:ascii="Times New Roman" w:cs="Times New Roman" w:eastAsia="Times New Roman" w:hAnsi="Times New Roman"/>
          <w:sz w:val="22"/>
          <w:szCs w:val="22"/>
          <w:color w:val="auto"/>
        </w:rPr>
      </w:pPr>
    </w:p>
    <w:p>
      <w:pPr>
        <w:jc w:val="both"/>
        <w:ind w:left="760" w:hanging="752"/>
        <w:spacing w:after="0" w:line="241" w:lineRule="auto"/>
        <w:tabs>
          <w:tab w:leader="none" w:pos="7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Short Selling. </w:t>
      </w:r>
      <w:r>
        <w:rPr>
          <w:rFonts w:ascii="Times New Roman" w:cs="Times New Roman" w:eastAsia="Times New Roman" w:hAnsi="Times New Roman"/>
          <w:sz w:val="22"/>
          <w:szCs w:val="22"/>
          <w:color w:val="auto"/>
        </w:rPr>
        <w:t>You are prohibited from engaging in short selling of Nektar securities. Selling short includes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transactions in which you borrow stock from a broker, sell it, and eventually buy it back on the market to return the borrowed shares to the broker. Profit is anticipated through the expectation that the stock price will decrease during the period of borrowing.</w:t>
      </w:r>
    </w:p>
    <w:p>
      <w:pPr>
        <w:spacing w:after="0" w:line="171" w:lineRule="exact"/>
        <w:rPr>
          <w:rFonts w:ascii="Times New Roman" w:cs="Times New Roman" w:eastAsia="Times New Roman" w:hAnsi="Times New Roman"/>
          <w:sz w:val="22"/>
          <w:szCs w:val="22"/>
          <w:color w:val="auto"/>
        </w:rPr>
      </w:pPr>
    </w:p>
    <w:p>
      <w:pPr>
        <w:jc w:val="both"/>
        <w:ind w:left="760" w:hanging="752"/>
        <w:spacing w:after="0" w:line="236" w:lineRule="auto"/>
        <w:tabs>
          <w:tab w:leader="none" w:pos="7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Purchasing on Margin. </w:t>
      </w:r>
      <w:r>
        <w:rPr>
          <w:rFonts w:ascii="Times New Roman" w:cs="Times New Roman" w:eastAsia="Times New Roman" w:hAnsi="Times New Roman"/>
          <w:sz w:val="22"/>
          <w:szCs w:val="22"/>
          <w:color w:val="auto"/>
        </w:rPr>
        <w:t>You are prohibited from purchasing Nektar stock on margin at any time. Purchasing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securities on margin is the use of borrowed money from a brokerage to purchase securities. You may, however, hold Nektar stock in a margin account,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an account that allows you to borrow money against your stock, including Nektar stock so long as you have, at all times, sufficient cash or securities other than Nektar stock to meet a margin call. You may not allow a “margin call” to be covered by the sale of Nektar securities while in possession of material, non-public information or if the trading window has been closed by Nektar, and, in the case of Restricted Persons, during a Blackout Period whether or not such persons are in possession of material, non-public information.</w:t>
      </w:r>
    </w:p>
    <w:p>
      <w:pPr>
        <w:spacing w:after="0" w:line="175"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Pledges. </w:t>
      </w:r>
      <w:r>
        <w:rPr>
          <w:rFonts w:ascii="Times New Roman" w:cs="Times New Roman" w:eastAsia="Times New Roman" w:hAnsi="Times New Roman"/>
          <w:sz w:val="22"/>
          <w:szCs w:val="22"/>
          <w:color w:val="auto"/>
        </w:rPr>
        <w:t>You may not pledge Company securities as collateral for a loan (or modify an existing pledge).</w:t>
      </w:r>
    </w:p>
    <w:p>
      <w:pPr>
        <w:spacing w:after="0" w:line="206" w:lineRule="exact"/>
        <w:rPr>
          <w:rFonts w:ascii="Times New Roman" w:cs="Times New Roman" w:eastAsia="Times New Roman" w:hAnsi="Times New Roman"/>
          <w:sz w:val="22"/>
          <w:szCs w:val="22"/>
          <w:color w:val="auto"/>
        </w:rPr>
      </w:pPr>
    </w:p>
    <w:p>
      <w:pPr>
        <w:jc w:val="both"/>
        <w:ind w:left="760" w:hanging="752"/>
        <w:spacing w:after="0" w:line="241" w:lineRule="auto"/>
        <w:tabs>
          <w:tab w:leader="none" w:pos="7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Participating in Chat Rooms. </w:t>
      </w:r>
      <w:r>
        <w:rPr>
          <w:rFonts w:ascii="Times New Roman" w:cs="Times New Roman" w:eastAsia="Times New Roman" w:hAnsi="Times New Roman"/>
          <w:sz w:val="22"/>
          <w:szCs w:val="22"/>
          <w:color w:val="auto"/>
        </w:rPr>
        <w:t>You must not participate in “chat rooms” or other electronic discussion groups 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Internet or on social media concerning the activities of Nektar, the prospects for Nektar stock, or the prospects of other companies with which Nektar does business, even if you do so anonymously. Please refer to the Nektar Corporate Disclosure Policy.</w:t>
      </w:r>
    </w:p>
    <w:p>
      <w:pPr>
        <w:spacing w:after="0" w:line="171" w:lineRule="exact"/>
        <w:rPr>
          <w:rFonts w:ascii="Times New Roman" w:cs="Times New Roman" w:eastAsia="Times New Roman" w:hAnsi="Times New Roman"/>
          <w:sz w:val="22"/>
          <w:szCs w:val="22"/>
          <w:color w:val="auto"/>
        </w:rPr>
      </w:pPr>
    </w:p>
    <w:p>
      <w:pPr>
        <w:ind w:left="760" w:hanging="752"/>
        <w:spacing w:after="0" w:line="262" w:lineRule="auto"/>
        <w:tabs>
          <w:tab w:leader="none" w:pos="7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Recommending of Stock. </w:t>
      </w:r>
      <w:r>
        <w:rPr>
          <w:rFonts w:ascii="Times New Roman" w:cs="Times New Roman" w:eastAsia="Times New Roman" w:hAnsi="Times New Roman"/>
          <w:sz w:val="22"/>
          <w:szCs w:val="22"/>
          <w:color w:val="auto"/>
        </w:rPr>
        <w:t>You may never recommend to or advise another person that he or she buy, hold or sell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Nektar stock. This rule does not apply to those Nektar employees authorized to speak to analysts, fund managers, etc.</w:t>
      </w:r>
    </w:p>
    <w:p>
      <w:pPr>
        <w:spacing w:after="0" w:line="149" w:lineRule="exact"/>
        <w:rPr>
          <w:rFonts w:ascii="Times New Roman" w:cs="Times New Roman" w:eastAsia="Times New Roman" w:hAnsi="Times New Roman"/>
          <w:sz w:val="22"/>
          <w:szCs w:val="22"/>
          <w:color w:val="auto"/>
        </w:rPr>
      </w:pPr>
    </w:p>
    <w:p>
      <w:pPr>
        <w:ind w:left="760" w:right="20" w:hanging="752"/>
        <w:spacing w:after="0" w:line="262" w:lineRule="auto"/>
        <w:tabs>
          <w:tab w:leader="none" w:pos="7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Trading in the Securities of Other Companies. </w:t>
      </w:r>
      <w:r>
        <w:rPr>
          <w:rFonts w:ascii="Times New Roman" w:cs="Times New Roman" w:eastAsia="Times New Roman" w:hAnsi="Times New Roman"/>
          <w:sz w:val="22"/>
          <w:szCs w:val="22"/>
          <w:color w:val="auto"/>
        </w:rPr>
        <w:t>Many of the trading restrictions described throughout this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also apply to transactions in the stock of other companies,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5"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to the extent you have learned material, non-public information about these companies as a result of your employment by or delivery of services to Nektar. Companies working with Nektar include but are not limited to corporate partners and key suppliers and contractors.</w:t>
      </w:r>
    </w:p>
    <w:p>
      <w:pPr>
        <w:spacing w:after="0" w:line="169" w:lineRule="exact"/>
        <w:rPr>
          <w:sz w:val="20"/>
          <w:szCs w:val="20"/>
          <w:color w:val="auto"/>
        </w:rPr>
      </w:pPr>
    </w:p>
    <w:p>
      <w:pPr>
        <w:jc w:val="both"/>
        <w:ind w:left="760" w:hanging="752"/>
        <w:spacing w:after="0" w:line="238" w:lineRule="auto"/>
        <w:tabs>
          <w:tab w:leader="none" w:pos="7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Gifts and Other Distributions in Kind. </w:t>
      </w:r>
      <w:r>
        <w:rPr>
          <w:rFonts w:ascii="Times New Roman" w:cs="Times New Roman" w:eastAsia="Times New Roman" w:hAnsi="Times New Roman"/>
          <w:sz w:val="22"/>
          <w:szCs w:val="22"/>
          <w:color w:val="auto"/>
        </w:rPr>
        <w:t>No Restricted Person may donate or make any other transfer of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without consideration when the Restricted Person is not permitted to trade unless the donee agrees in writing not to sell the shares until the Restricted Person is permitted to sell. In addition to charitable donations or gifts to family members, friends, trusts or others, this prohibition applies to distributions to limited partners by limited partnerships that are subject to this Policy.</w:t>
      </w:r>
    </w:p>
    <w:p>
      <w:pPr>
        <w:spacing w:after="0" w:line="176" w:lineRule="exact"/>
        <w:rPr>
          <w:rFonts w:ascii="Times New Roman" w:cs="Times New Roman" w:eastAsia="Times New Roman" w:hAnsi="Times New Roman"/>
          <w:sz w:val="22"/>
          <w:szCs w:val="22"/>
          <w:color w:val="auto"/>
        </w:rPr>
      </w:pPr>
    </w:p>
    <w:p>
      <w:pPr>
        <w:jc w:val="both"/>
        <w:ind w:left="760" w:hanging="752"/>
        <w:spacing w:after="0" w:line="236" w:lineRule="auto"/>
        <w:tabs>
          <w:tab w:leader="none" w:pos="7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Penalties for Insider Trading</w:t>
      </w:r>
      <w:r>
        <w:rPr>
          <w:rFonts w:ascii="Times New Roman" w:cs="Times New Roman" w:eastAsia="Times New Roman" w:hAnsi="Times New Roman"/>
          <w:sz w:val="22"/>
          <w:szCs w:val="22"/>
          <w:color w:val="auto"/>
        </w:rPr>
        <w:t>. Trading while aware of inside information is a crime and is pursued aggressively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federal government. </w:t>
      </w:r>
      <w:r>
        <w:rPr>
          <w:rFonts w:ascii="Times New Roman" w:cs="Times New Roman" w:eastAsia="Times New Roman" w:hAnsi="Times New Roman"/>
          <w:sz w:val="22"/>
          <w:szCs w:val="22"/>
          <w:i w:val="1"/>
          <w:iCs w:val="1"/>
          <w:color w:val="auto"/>
        </w:rPr>
        <w:t>Penalties for insider trading include criminal fines of up to $5,000,000 and 20 years in jail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individuals. </w:t>
      </w:r>
      <w:r>
        <w:rPr>
          <w:rFonts w:ascii="Times New Roman" w:cs="Times New Roman" w:eastAsia="Times New Roman" w:hAnsi="Times New Roman"/>
          <w:sz w:val="22"/>
          <w:szCs w:val="22"/>
          <w:color w:val="auto"/>
        </w:rPr>
        <w:t>In addition, the Securities and Exchange Commission may seek the imposition of a civil penalty of up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three times the profits made or losses avoided from trading while aware of inside information. Those who trade on inside information also must return any profits made, with interest, and they are subject to an injunction against future violations. Finally, under some circumstances, people who trade on inside information may be subjected to civil liability in private lawsuits.</w:t>
      </w:r>
    </w:p>
    <w:p>
      <w:pPr>
        <w:spacing w:after="0" w:line="175" w:lineRule="exact"/>
        <w:rPr>
          <w:rFonts w:ascii="Times New Roman" w:cs="Times New Roman" w:eastAsia="Times New Roman" w:hAnsi="Times New Roman"/>
          <w:sz w:val="22"/>
          <w:szCs w:val="22"/>
          <w:color w:val="auto"/>
        </w:rPr>
      </w:pPr>
    </w:p>
    <w:p>
      <w:pPr>
        <w:jc w:val="both"/>
        <w:ind w:left="76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Employers are at risk under federal law. </w:t>
      </w:r>
      <w:r>
        <w:rPr>
          <w:rFonts w:ascii="Times New Roman" w:cs="Times New Roman" w:eastAsia="Times New Roman" w:hAnsi="Times New Roman"/>
          <w:sz w:val="22"/>
          <w:szCs w:val="22"/>
          <w:b w:val="1"/>
          <w:bCs w:val="1"/>
          <w:color w:val="auto"/>
        </w:rPr>
        <w:t>Employers may, among other things, face civil penalties equal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greater of $2,000,000 or more, up to three times the profits made or losses avoided by the trader if they recklessly fail to take preventive steps to control insider trading, as well as criminal penalties of up to $25,000,000, and could under some circumstances be subject to private lawsuits and civil liability.</w:t>
      </w:r>
    </w:p>
    <w:p>
      <w:pPr>
        <w:spacing w:after="0" w:line="175" w:lineRule="exact"/>
        <w:rPr>
          <w:rFonts w:ascii="Times New Roman" w:cs="Times New Roman" w:eastAsia="Times New Roman" w:hAnsi="Times New Roman"/>
          <w:sz w:val="22"/>
          <w:szCs w:val="22"/>
          <w:color w:val="auto"/>
        </w:rPr>
      </w:pPr>
    </w:p>
    <w:p>
      <w:pPr>
        <w:jc w:val="both"/>
        <w:ind w:left="7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violation of this Policy or any federal or state insider trading laws may result in severe personnel action, up to and including termination of your employment or other relationship with Nektar. </w:t>
      </w:r>
      <w:r>
        <w:rPr>
          <w:rFonts w:ascii="Times New Roman" w:cs="Times New Roman" w:eastAsia="Times New Roman" w:hAnsi="Times New Roman"/>
          <w:sz w:val="22"/>
          <w:szCs w:val="22"/>
          <w:b w:val="1"/>
          <w:bCs w:val="1"/>
          <w:color w:val="auto"/>
        </w:rPr>
        <w:t>Any violation of this Policy should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 reported to the General Counsel.</w:t>
      </w:r>
    </w:p>
    <w:p>
      <w:pPr>
        <w:spacing w:after="0" w:line="173" w:lineRule="exact"/>
        <w:rPr>
          <w:rFonts w:ascii="Times New Roman" w:cs="Times New Roman" w:eastAsia="Times New Roman" w:hAnsi="Times New Roman"/>
          <w:sz w:val="22"/>
          <w:szCs w:val="22"/>
          <w:color w:val="auto"/>
        </w:rPr>
      </w:pPr>
    </w:p>
    <w:p>
      <w:pPr>
        <w:jc w:val="both"/>
        <w:ind w:left="7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reserves the right to determine, in its own discretion and on the basis of the information available to it, whether this Policy has been violated. The Company may determine that specific conduct violates this Policy whether or not it also violates the law. It is not necessary for the Company to await the filing or conclusion of a civil or criminal action against an alleged violator before taking disciplinary action.</w:t>
      </w:r>
    </w:p>
    <w:p>
      <w:pPr>
        <w:spacing w:after="0" w:line="176" w:lineRule="exact"/>
        <w:rPr>
          <w:rFonts w:ascii="Times New Roman" w:cs="Times New Roman" w:eastAsia="Times New Roman" w:hAnsi="Times New Roman"/>
          <w:sz w:val="22"/>
          <w:szCs w:val="22"/>
          <w:color w:val="auto"/>
        </w:rPr>
      </w:pPr>
    </w:p>
    <w:p>
      <w:pPr>
        <w:jc w:val="both"/>
        <w:ind w:left="760" w:hanging="752"/>
        <w:spacing w:after="0" w:line="236" w:lineRule="auto"/>
        <w:tabs>
          <w:tab w:leader="none" w:pos="7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Rule 10b5-1 Plans. </w:t>
      </w:r>
      <w:r>
        <w:rPr>
          <w:rFonts w:ascii="Times New Roman" w:cs="Times New Roman" w:eastAsia="Times New Roman" w:hAnsi="Times New Roman"/>
          <w:sz w:val="22"/>
          <w:szCs w:val="22"/>
          <w:color w:val="auto"/>
        </w:rPr>
        <w:t>The Securities and Exchange Commission provides for an affirmative defense from insider trading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liability for trades executed pursuant to a plan, arrangement, or instruction that meets the requirements of Rule 10b5-1 under the Exchange Act (“Trading Plan”). Generally, Trading Plans must be documented in writing and established at a time that the person was not aware of material, non-public information and must provide specific (as detailed by the rule) instructions as to amount, price, and timing of the trades thereunder. The Company has adopted a separate Rule 10b5-1 Trading Policy (the “Rule 10b5-1 Trading Policy”) that sets forth the requirements for putting in place a Rule 10b5-1 Plan with respect to Company securities.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79" w:lineRule="exact"/>
        <w:rPr>
          <w:sz w:val="20"/>
          <w:szCs w:val="20"/>
          <w:color w:val="auto"/>
        </w:rPr>
      </w:pPr>
    </w:p>
    <w:p>
      <w:pPr>
        <w:jc w:val="both"/>
        <w:ind w:left="760" w:hanging="752"/>
        <w:spacing w:after="0" w:line="235" w:lineRule="auto"/>
        <w:tabs>
          <w:tab w:leader="none" w:pos="7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Exercise of Stock Options</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trading prohibitions and restrictions set forth in the Policy do not apply to the exercise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cash of an option to purchase securities of the Company. However, the exercise is subject to the current reporting requirements of Section 16 of the Exchange Act and, therefore, Senior Restricted Persons must comply with the post-trade reporting requirement described above for any such transaction. In addition, the securities acquired upon the exercise of an option to purchase Company securities are subject to all of the requirements of this Policy. Moreover, the Policy applies to the use of outstanding Company securities to pay part or all of the exercise price of an option, any net option exercise, any exercise of a stock appreciation right, share withholding and any sale of stock as part of a broker-assisted cashless exercise of an option or any other market sale for the purpose of generating the cash needed to pay the exercise price of an option</w:t>
      </w:r>
      <w:r>
        <w:rPr>
          <w:rFonts w:ascii="Times New Roman" w:cs="Times New Roman" w:eastAsia="Times New Roman" w:hAnsi="Times New Roman"/>
          <w:sz w:val="22"/>
          <w:szCs w:val="22"/>
          <w:i w:val="1"/>
          <w:iCs w:val="1"/>
          <w:color w:val="auto"/>
        </w:rPr>
        <w:t>.</w:t>
      </w:r>
    </w:p>
    <w:p>
      <w:pPr>
        <w:spacing w:after="0" w:line="175" w:lineRule="exact"/>
        <w:rPr>
          <w:rFonts w:ascii="Times New Roman" w:cs="Times New Roman" w:eastAsia="Times New Roman" w:hAnsi="Times New Roman"/>
          <w:sz w:val="22"/>
          <w:szCs w:val="22"/>
          <w:color w:val="auto"/>
        </w:rPr>
      </w:pPr>
    </w:p>
    <w:p>
      <w:pPr>
        <w:jc w:val="both"/>
        <w:ind w:left="760" w:hanging="752"/>
        <w:spacing w:after="0" w:line="235" w:lineRule="auto"/>
        <w:tabs>
          <w:tab w:leader="none" w:pos="7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Employee Stock Purchase Plan. </w:t>
      </w:r>
      <w:r>
        <w:rPr>
          <w:rFonts w:ascii="Times New Roman" w:cs="Times New Roman" w:eastAsia="Times New Roman" w:hAnsi="Times New Roman"/>
          <w:sz w:val="22"/>
          <w:szCs w:val="22"/>
          <w:color w:val="auto"/>
        </w:rPr>
        <w:t>The trading prohibitions and restrictions set forth in this Policy do not apply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periodic wage withholding contributions by the Company or employees of the Company which are used to purchase the Company’s securities pursuant to the employees’ advance instructions under the Company’s Amended and Restated Employee Stock Purchase Plan, as amended from time to time. However, no person subject to this Policy may: (a) elect to participate in the plan or alter his or her instructions regarding the level of withholding or purchase by the employee of Company securities under such plan; or (b) make cash contributions to such plan (other than through periodic wage withholding) without complying with the Policy. Any sale of securities acquired under such plan is subject to the prohibitions and restrictions of this Policy.</w:t>
      </w:r>
    </w:p>
    <w:p>
      <w:pPr>
        <w:spacing w:after="0" w:line="178" w:lineRule="exact"/>
        <w:rPr>
          <w:rFonts w:ascii="Times New Roman" w:cs="Times New Roman" w:eastAsia="Times New Roman" w:hAnsi="Times New Roman"/>
          <w:sz w:val="22"/>
          <w:szCs w:val="22"/>
          <w:color w:val="auto"/>
        </w:rPr>
      </w:pPr>
    </w:p>
    <w:p>
      <w:pPr>
        <w:jc w:val="both"/>
        <w:ind w:left="760" w:hanging="752"/>
        <w:spacing w:after="0" w:line="250" w:lineRule="auto"/>
        <w:tabs>
          <w:tab w:leader="none" w:pos="76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 Withholding</w:t>
      </w:r>
      <w:r>
        <w:rPr>
          <w:rFonts w:ascii="Times New Roman" w:cs="Times New Roman" w:eastAsia="Times New Roman" w:hAnsi="Times New Roman"/>
          <w:sz w:val="21"/>
          <w:szCs w:val="21"/>
          <w:color w:val="auto"/>
        </w:rPr>
        <w:t>. The trading prohibitions and restrictions set forth in this Policy do not apply to the withholding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of shares of stock upon vesting of restricted stock or upon settlement of restricted stock units to satisfy applicable tax withholding requirements if (a) such withholding is required by the applicable plan or award agreement or</w:t>
      </w:r>
    </w:p>
    <w:p>
      <w:pPr>
        <w:spacing w:after="0" w:line="2" w:lineRule="exact"/>
        <w:rPr>
          <w:rFonts w:ascii="Times New Roman" w:cs="Times New Roman" w:eastAsia="Times New Roman" w:hAnsi="Times New Roman"/>
          <w:sz w:val="21"/>
          <w:szCs w:val="21"/>
          <w:color w:val="auto"/>
        </w:rPr>
      </w:pPr>
    </w:p>
    <w:p>
      <w:pPr>
        <w:ind w:left="7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 the election to exercise such tax withholding right was made by the Restricted Person in compliance with this Policy.</w:t>
      </w:r>
    </w:p>
    <w:p>
      <w:pPr>
        <w:spacing w:after="0" w:line="189" w:lineRule="exact"/>
        <w:rPr>
          <w:rFonts w:ascii="Times New Roman" w:cs="Times New Roman" w:eastAsia="Times New Roman" w:hAnsi="Times New Roman"/>
          <w:sz w:val="21"/>
          <w:szCs w:val="21"/>
          <w:color w:val="auto"/>
        </w:rPr>
      </w:pPr>
    </w:p>
    <w:p>
      <w:pPr>
        <w:jc w:val="both"/>
        <w:ind w:left="760" w:hanging="752"/>
        <w:spacing w:after="0" w:line="238" w:lineRule="auto"/>
        <w:tabs>
          <w:tab w:leader="none" w:pos="7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Assistance, Enforcement of the Policy and Reporting of Violations. </w:t>
      </w:r>
      <w:r>
        <w:rPr>
          <w:rFonts w:ascii="Times New Roman" w:cs="Times New Roman" w:eastAsia="Times New Roman" w:hAnsi="Times New Roman"/>
          <w:sz w:val="22"/>
          <w:szCs w:val="22"/>
          <w:color w:val="auto"/>
        </w:rPr>
        <w:t>If you have any questions about any aspect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policy, you are encouraged to contact the General Counsel. You should not try to make your own judgments about what constitutes illegal conduct. If you have any questions about this Policy, your responsibilities or the responsibilities of others under this Policy or specific transactions, please contact the General Counsel. In any event, err on the side of caution.</w:t>
      </w:r>
    </w:p>
    <w:p>
      <w:pPr>
        <w:spacing w:after="0" w:line="180" w:lineRule="exact"/>
        <w:rPr>
          <w:rFonts w:ascii="Times New Roman" w:cs="Times New Roman" w:eastAsia="Times New Roman" w:hAnsi="Times New Roman"/>
          <w:sz w:val="22"/>
          <w:szCs w:val="22"/>
          <w:color w:val="auto"/>
        </w:rPr>
      </w:pPr>
    </w:p>
    <w:p>
      <w:pPr>
        <w:jc w:val="both"/>
        <w:ind w:left="76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you violate this Policy or any federal or state laws governing insider trading or know of any such violation by any director or employee of the Company, you should report the violation immediately to the General Counsel. In addition, if you know or have reason to believe that this policy has been or is about to be violated, you should report this information to your manager, the General Counsel or, if you prefer to make an anonymous report, you may report to Nektar’s help line at </w:t>
      </w:r>
      <w:r>
        <w:rPr>
          <w:rFonts w:ascii="Times New Roman" w:cs="Times New Roman" w:eastAsia="Times New Roman" w:hAnsi="Times New Roman"/>
          <w:sz w:val="22"/>
          <w:szCs w:val="22"/>
          <w:b w:val="1"/>
          <w:bCs w:val="1"/>
          <w:color w:val="auto"/>
        </w:rPr>
        <w:t>www.nektar.ethicspoint.com</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ind w:left="760" w:hanging="752"/>
        <w:spacing w:after="0" w:line="262" w:lineRule="auto"/>
        <w:tabs>
          <w:tab w:leader="none" w:pos="7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Waivers. </w:t>
      </w:r>
      <w:r>
        <w:rPr>
          <w:rFonts w:ascii="Times New Roman" w:cs="Times New Roman" w:eastAsia="Times New Roman" w:hAnsi="Times New Roman"/>
          <w:sz w:val="22"/>
          <w:szCs w:val="22"/>
          <w:color w:val="auto"/>
        </w:rPr>
        <w:t>A waiver of any provision of this Policy may be authorized in writing by the General Counsel. All waivers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reported to the Board of Directors.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ADOPTED:</w:t>
            </w:r>
          </w:p>
        </w:tc>
        <w:tc>
          <w:tcPr>
            <w:tcW w:w="9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June 8, 2023</w:t>
            </w:r>
          </w:p>
        </w:tc>
        <w:tc>
          <w:tcPr>
            <w:tcW w:w="0" w:type="dxa"/>
            <w:vAlign w:val="bottom"/>
          </w:tcPr>
          <w:p>
            <w:pPr>
              <w:spacing w:after="0"/>
              <w:rPr>
                <w:sz w:val="1"/>
                <w:szCs w:val="1"/>
                <w:color w:val="auto"/>
              </w:rPr>
            </w:pPr>
          </w:p>
        </w:tc>
      </w:t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EFFECTIVE:</w:t>
            </w:r>
          </w:p>
        </w:tc>
        <w:tc>
          <w:tcPr>
            <w:tcW w:w="9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June 8, 2023</w:t>
            </w:r>
          </w:p>
        </w:tc>
        <w:tc>
          <w:tcPr>
            <w:tcW w:w="0" w:type="dxa"/>
            <w:vAlign w:val="bottom"/>
          </w:tcPr>
          <w:p>
            <w:pPr>
              <w:spacing w:after="0"/>
              <w:rPr>
                <w:sz w:val="1"/>
                <w:szCs w:val="1"/>
                <w:color w:val="auto"/>
              </w:rPr>
            </w:pPr>
          </w:p>
        </w:tc>
      </w:tr>
      <w:tr>
        <w:trPr>
          <w:trHeight w:val="636"/>
        </w:trPr>
        <w:tc>
          <w:tcPr>
            <w:tcW w:w="1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Updated: June 8, 2023</w:t>
            </w:r>
          </w:p>
        </w:tc>
        <w:tc>
          <w:tcPr>
            <w:tcW w:w="9580" w:type="dxa"/>
            <w:vAlign w:val="bottom"/>
          </w:tcPr>
          <w:p>
            <w:pPr>
              <w:jc w:val="right"/>
              <w:ind w:right="5318"/>
              <w:spacing w:after="0"/>
              <w:rPr>
                <w:sz w:val="20"/>
                <w:szCs w:val="20"/>
                <w:color w:val="auto"/>
              </w:rPr>
            </w:pPr>
            <w:r>
              <w:rPr>
                <w:rFonts w:ascii="Times New Roman" w:cs="Times New Roman" w:eastAsia="Times New Roman" w:hAnsi="Times New Roman"/>
                <w:sz w:val="18"/>
                <w:szCs w:val="18"/>
                <w:color w:val="auto"/>
              </w:rPr>
              <w:t>- 12 -</w:t>
            </w:r>
          </w:p>
        </w:tc>
        <w:tc>
          <w:tcPr>
            <w:tcW w:w="0" w:type="dxa"/>
            <w:vAlign w:val="bottom"/>
          </w:tcPr>
          <w:p>
            <w:pPr>
              <w:spacing w:after="0"/>
              <w:rPr>
                <w:sz w:val="1"/>
                <w:szCs w:val="1"/>
                <w:color w:val="auto"/>
              </w:rPr>
            </w:pPr>
          </w:p>
        </w:tc>
      </w:tr>
      <w:tr>
        <w:trPr>
          <w:trHeight w:val="216"/>
        </w:trPr>
        <w:tc>
          <w:tcPr>
            <w:tcW w:w="1660" w:type="dxa"/>
            <w:vAlign w:val="bottom"/>
            <w:vMerge w:val="continue"/>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3"/>
        </w:trPr>
        <w:tc>
          <w:tcPr>
            <w:tcW w:w="166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CONCERNING TRADING IN COMPANY SECURITIES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You must sign, date and return this Certification stating that you received the Nektar Therapeutics Security Trading Policy (the “Policy”) and related procedures, and you agree to comply with it. Please note that you are bound by the Policy whether or not you sign the Certification. You will be required to confirm your compliance with the Policy by signing and returning a copy of the Certification each year.</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You will receive training regarding the Policy on a periodic basis. At that time, it is expected that you will ask questions sufficient to allow you to understand the Policy. Also, if at any time during the year you desire additional training or have a question regarding the Policy, please contact the Legal Department to set up an appointment for training.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hereby certify that I:</w:t>
      </w:r>
    </w:p>
    <w:p>
      <w:pPr>
        <w:spacing w:after="0" w:line="206" w:lineRule="exact"/>
        <w:rPr>
          <w:sz w:val="20"/>
          <w:szCs w:val="20"/>
          <w:color w:val="auto"/>
        </w:rPr>
      </w:pPr>
    </w:p>
    <w:p>
      <w:pPr>
        <w:ind w:left="1500" w:hanging="743"/>
        <w:spacing w:after="0" w:line="258" w:lineRule="auto"/>
        <w:tabs>
          <w:tab w:leader="none" w:pos="15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read and understand Nektar’s Security Trading Policy, a copy of which was distributed with this certificate;</w:t>
      </w:r>
    </w:p>
    <w:p>
      <w:pPr>
        <w:spacing w:after="0" w:line="15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complied with the foregoing policy and procedures;</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continue to comply with the policy and procedures set forth in the Policy; and</w:t>
      </w:r>
    </w:p>
    <w:p>
      <w:pPr>
        <w:spacing w:after="0" w:line="20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required, will request prior approval of all proposed sales or acquisitions of securities of Nektar.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10795</wp:posOffset>
            </wp:positionV>
            <wp:extent cx="27774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10795</wp:posOffset>
            </wp:positionV>
            <wp:extent cx="27774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(please print)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Department or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10795</wp:posOffset>
            </wp:positionV>
            <wp:extent cx="19888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10795</wp:posOffset>
            </wp:positionV>
            <wp:extent cx="27774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TRANSACTION REQUEST</w:t>
      </w:r>
    </w:p>
    <w:p>
      <w:pPr>
        <w:spacing w:after="0" w:line="2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Nektar’s Security Trading Policy, I hereby notify Nektar (the “Company”) of my intent to trade the securities of the Company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45020" cy="6532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4">
                      <a:extLst>
                        <a:ext uri="{28A0092B-C50C-407E-A947-70E740481C1C}"/>
                      </a:extLst>
                    </a:blip>
                    <a:srcRect/>
                    <a:stretch>
                      <a:fillRect/>
                    </a:stretch>
                  </pic:blipFill>
                  <pic:spPr bwMode="auto">
                    <a:xfrm>
                      <a:off x="0" y="0"/>
                      <a:ext cx="7145020" cy="6532245"/>
                    </a:xfrm>
                    <a:prstGeom prst="rect">
                      <a:avLst/>
                    </a:prstGeom>
                    <a:noFill/>
                  </pic:spPr>
                </pic:pic>
              </a:graphicData>
            </a:graphic>
          </wp:anchor>
        </w:drawing>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REQUESTER INFORMATION</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Insider’s Name: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INTENT TO PURCHASE</w:t>
            </w: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Intended trade date:</w:t>
            </w:r>
          </w:p>
        </w:tc>
        <w:tc>
          <w:tcPr>
            <w:tcW w:w="9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3020" w:type="dxa"/>
            <w:vAlign w:val="bottom"/>
            <w:gridSpan w:val="4"/>
            <w:vMerge w:val="continue"/>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4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Means of acquiring shares:</w:t>
            </w:r>
          </w:p>
        </w:tc>
        <w:tc>
          <w:tcPr>
            <w:tcW w:w="1320" w:type="dxa"/>
            <w:vAlign w:val="bottom"/>
            <w:gridSpan w:val="2"/>
          </w:tcPr>
          <w:p>
            <w:pPr>
              <w:ind w:left="940"/>
              <w:spacing w:after="0"/>
              <w:rPr>
                <w:sz w:val="20"/>
                <w:szCs w:val="20"/>
                <w:color w:val="auto"/>
              </w:rPr>
            </w:pPr>
            <w:r>
              <w:rPr>
                <w:rFonts w:ascii="Wingdings" w:cs="Wingdings" w:eastAsia="Wingdings" w:hAnsi="Wingdings"/>
                <w:sz w:val="18"/>
                <w:szCs w:val="18"/>
                <w:b w:val="1"/>
                <w:bCs w:val="1"/>
                <w:color w:val="auto"/>
              </w:rPr>
              <w:t></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Acquisition through employee benefit plan (please specify):</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20" w:type="dxa"/>
            <w:vAlign w:val="bottom"/>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gridSpan w:val="2"/>
          </w:tcPr>
          <w:p>
            <w:pPr>
              <w:spacing w:after="0"/>
              <w:rPr>
                <w:sz w:val="23"/>
                <w:szCs w:val="23"/>
                <w:color w:val="auto"/>
              </w:rPr>
            </w:pPr>
          </w:p>
        </w:tc>
        <w:tc>
          <w:tcPr>
            <w:tcW w:w="4560" w:type="dxa"/>
            <w:vAlign w:val="bottom"/>
            <w:tcBorders>
              <w:bottom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3"/>
        </w:trPr>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20" w:type="dxa"/>
            <w:vAlign w:val="bottom"/>
            <w:gridSpan w:val="6"/>
          </w:tcPr>
          <w:p>
            <w:pPr>
              <w:ind w:left="940"/>
              <w:spacing w:after="0"/>
              <w:rPr>
                <w:sz w:val="20"/>
                <w:szCs w:val="20"/>
                <w:color w:val="auto"/>
              </w:rPr>
            </w:pP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Purchase through a broker on the open market</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gridSpan w:val="2"/>
            <w:vMerge w:val="restart"/>
          </w:tcPr>
          <w:p>
            <w:pPr>
              <w:ind w:left="940"/>
              <w:spacing w:after="0"/>
              <w:rPr>
                <w:sz w:val="20"/>
                <w:szCs w:val="20"/>
                <w:color w:val="auto"/>
              </w:rPr>
            </w:pPr>
            <w:r>
              <w:rPr>
                <w:rFonts w:ascii="Wingdings" w:cs="Wingdings" w:eastAsia="Wingdings" w:hAnsi="Wingdings"/>
                <w:sz w:val="18"/>
                <w:szCs w:val="18"/>
                <w:b w:val="1"/>
                <w:bCs w:val="1"/>
                <w:color w:val="auto"/>
              </w:rPr>
              <w:t></w:t>
            </w:r>
          </w:p>
        </w:tc>
        <w:tc>
          <w:tcPr>
            <w:tcW w:w="6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Other (please specify):</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20" w:type="dxa"/>
            <w:vAlign w:val="bottom"/>
            <w:gridSpan w:val="2"/>
            <w:vMerge w:val="continue"/>
          </w:tcPr>
          <w:p>
            <w:pPr>
              <w:spacing w:after="0"/>
              <w:rPr>
                <w:sz w:val="23"/>
                <w:szCs w:val="23"/>
                <w:color w:val="auto"/>
              </w:rPr>
            </w:pPr>
          </w:p>
        </w:tc>
        <w:tc>
          <w:tcPr>
            <w:tcW w:w="6500" w:type="dxa"/>
            <w:vAlign w:val="bottom"/>
            <w:gridSpan w:val="4"/>
            <w:vMerge w:val="continue"/>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4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INTENT TO SELL</w:t>
            </w: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3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Intended trade date:</w:t>
            </w:r>
          </w:p>
        </w:tc>
        <w:tc>
          <w:tcPr>
            <w:tcW w:w="9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456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020" w:type="dxa"/>
            <w:vAlign w:val="bottom"/>
            <w:gridSpan w:val="4"/>
            <w:vMerge w:val="continue"/>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5040" w:type="dxa"/>
            <w:vAlign w:val="bottom"/>
            <w:gridSpan w:val="2"/>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30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Means of selling shares:</w:t>
            </w:r>
          </w:p>
        </w:tc>
        <w:tc>
          <w:tcPr>
            <w:tcW w:w="1320" w:type="dxa"/>
            <w:vAlign w:val="bottom"/>
            <w:gridSpan w:val="2"/>
          </w:tcPr>
          <w:p>
            <w:pPr>
              <w:ind w:left="940"/>
              <w:spacing w:after="0"/>
              <w:rPr>
                <w:sz w:val="20"/>
                <w:szCs w:val="20"/>
                <w:color w:val="auto"/>
              </w:rPr>
            </w:pPr>
            <w:r>
              <w:rPr>
                <w:rFonts w:ascii="Wingdings" w:cs="Wingdings" w:eastAsia="Wingdings" w:hAnsi="Wingdings"/>
                <w:sz w:val="18"/>
                <w:szCs w:val="18"/>
                <w:b w:val="1"/>
                <w:bCs w:val="1"/>
                <w:color w:val="auto"/>
              </w:rPr>
              <w:t></w:t>
            </w:r>
          </w:p>
        </w:tc>
        <w:tc>
          <w:tcPr>
            <w:tcW w:w="6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Sale through employee benefit plan (please specify):</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gridSpan w:val="3"/>
          </w:tcPr>
          <w:p>
            <w:pPr>
              <w:spacing w:after="0"/>
              <w:rPr>
                <w:sz w:val="19"/>
                <w:szCs w:val="19"/>
                <w:color w:val="auto"/>
              </w:rPr>
            </w:pPr>
          </w:p>
        </w:tc>
        <w:tc>
          <w:tcPr>
            <w:tcW w:w="6480" w:type="dxa"/>
            <w:vAlign w:val="bottom"/>
            <w:tcBorders>
              <w:bottom w:val="single" w:sz="8" w:color="auto"/>
            </w:tcBorders>
            <w:gridSpan w:val="3"/>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20" w:type="dxa"/>
            <w:vAlign w:val="bottom"/>
            <w:gridSpan w:val="6"/>
          </w:tcPr>
          <w:p>
            <w:pPr>
              <w:ind w:left="940"/>
              <w:spacing w:after="0"/>
              <w:rPr>
                <w:sz w:val="20"/>
                <w:szCs w:val="20"/>
                <w:color w:val="auto"/>
              </w:rPr>
            </w:pP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Sale through a broker on the open market</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gridSpan w:val="2"/>
            <w:vMerge w:val="restart"/>
          </w:tcPr>
          <w:p>
            <w:pPr>
              <w:ind w:left="940"/>
              <w:spacing w:after="0"/>
              <w:rPr>
                <w:sz w:val="20"/>
                <w:szCs w:val="20"/>
                <w:color w:val="auto"/>
              </w:rPr>
            </w:pPr>
            <w:r>
              <w:rPr>
                <w:rFonts w:ascii="Wingdings" w:cs="Wingdings" w:eastAsia="Wingdings" w:hAnsi="Wingdings"/>
                <w:sz w:val="18"/>
                <w:szCs w:val="18"/>
                <w:b w:val="1"/>
                <w:bCs w:val="1"/>
                <w:color w:val="auto"/>
              </w:rPr>
              <w:t></w:t>
            </w:r>
          </w:p>
        </w:tc>
        <w:tc>
          <w:tcPr>
            <w:tcW w:w="6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Other (please specify):</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20" w:type="dxa"/>
            <w:vAlign w:val="bottom"/>
            <w:gridSpan w:val="2"/>
            <w:vMerge w:val="continue"/>
          </w:tcPr>
          <w:p>
            <w:pPr>
              <w:spacing w:after="0"/>
              <w:rPr>
                <w:sz w:val="23"/>
                <w:szCs w:val="23"/>
                <w:color w:val="auto"/>
              </w:rPr>
            </w:pPr>
          </w:p>
        </w:tc>
        <w:tc>
          <w:tcPr>
            <w:tcW w:w="6500" w:type="dxa"/>
            <w:vAlign w:val="bottom"/>
            <w:gridSpan w:val="4"/>
            <w:vMerge w:val="continue"/>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49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RULE 144 (Not applicable if transaction requested involves a</w:t>
            </w:r>
          </w:p>
        </w:tc>
        <w:tc>
          <w:tcPr>
            <w:tcW w:w="0" w:type="dxa"/>
            <w:vAlign w:val="bottom"/>
          </w:tcPr>
          <w:p>
            <w:pPr>
              <w:spacing w:after="0"/>
              <w:rPr>
                <w:sz w:val="1"/>
                <w:szCs w:val="1"/>
                <w:color w:val="auto"/>
              </w:rPr>
            </w:pPr>
          </w:p>
        </w:tc>
      </w:tr>
      <w:tr>
        <w:trPr>
          <w:trHeight w:val="130"/>
        </w:trPr>
        <w:tc>
          <w:tcPr>
            <w:tcW w:w="5780" w:type="dxa"/>
            <w:vAlign w:val="bottom"/>
            <w:gridSpan w:val="3"/>
            <w:vMerge w:val="continue"/>
          </w:tcPr>
          <w:p>
            <w:pPr>
              <w:spacing w:after="0"/>
              <w:rPr>
                <w:sz w:val="11"/>
                <w:szCs w:val="11"/>
                <w:color w:val="auto"/>
              </w:rPr>
            </w:pPr>
          </w:p>
        </w:tc>
        <w:tc>
          <w:tcPr>
            <w:tcW w:w="4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5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80" w:type="dxa"/>
            <w:vAlign w:val="bottom"/>
          </w:tcPr>
          <w:p>
            <w:pPr>
              <w:spacing w:after="0"/>
              <w:rPr>
                <w:sz w:val="21"/>
                <w:szCs w:val="21"/>
                <w:color w:val="auto"/>
              </w:rPr>
            </w:pPr>
          </w:p>
        </w:tc>
        <w:tc>
          <w:tcPr>
            <w:tcW w:w="570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 am not subject to Section 16.</w:t>
            </w:r>
          </w:p>
        </w:tc>
        <w:tc>
          <w:tcPr>
            <w:tcW w:w="4940" w:type="dxa"/>
            <w:vAlign w:val="bottom"/>
          </w:tcPr>
          <w:p>
            <w:pPr>
              <w:ind w:left="100"/>
              <w:spacing w:after="0"/>
              <w:rPr>
                <w:sz w:val="20"/>
                <w:szCs w:val="20"/>
                <w:color w:val="auto"/>
              </w:rPr>
            </w:pP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I am not an “affiliate” of the Company and the transaction</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requested above does not involve the sale of “restricted</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(as those terms are defined in Rule 144 under the</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4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Securities Act of 1933, as amended).</w:t>
            </w:r>
          </w:p>
        </w:tc>
        <w:tc>
          <w:tcPr>
            <w:tcW w:w="0" w:type="dxa"/>
            <w:vAlign w:val="bottom"/>
          </w:tcPr>
          <w:p>
            <w:pPr>
              <w:spacing w:after="0"/>
              <w:rPr>
                <w:sz w:val="1"/>
                <w:szCs w:val="1"/>
                <w:color w:val="auto"/>
              </w:rPr>
            </w:pPr>
          </w:p>
        </w:tc>
      </w:tr>
    </w:tbl>
    <w:p>
      <w:pPr>
        <w:ind w:left="580" w:hanging="275"/>
        <w:spacing w:after="0" w:line="183" w:lineRule="auto"/>
        <w:tabs>
          <w:tab w:leader="none" w:pos="580" w:val="left"/>
        </w:tabs>
        <w:numPr>
          <w:ilvl w:val="0"/>
          <w:numId w:val="68"/>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To the best of my knowledge, I have not (and am not deemed to have)</w:t>
      </w:r>
    </w:p>
    <w:tbl>
      <w:tblPr>
        <w:tblLayout w:type="fixed"/>
        <w:tblInd w:w="300" w:type="dxa"/>
        <w:tblCellMar>
          <w:top w:w="0" w:type="dxa"/>
          <w:left w:w="0" w:type="dxa"/>
          <w:bottom w:w="0" w:type="dxa"/>
          <w:right w:w="0" w:type="dxa"/>
        </w:tblCellMar>
      </w:tblPr>
      <w:tr>
        <w:trPr>
          <w:trHeight w:val="198"/>
        </w:trPr>
        <w:tc>
          <w:tcPr>
            <w:tcW w:w="548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engaged in an opposite way transaction within the previous 6 months</w:t>
            </w:r>
          </w:p>
        </w:tc>
        <w:tc>
          <w:tcPr>
            <w:tcW w:w="5060" w:type="dxa"/>
            <w:vAlign w:val="bottom"/>
            <w:vMerge w:val="restart"/>
          </w:tcPr>
          <w:p>
            <w:pPr>
              <w:ind w:left="220"/>
              <w:spacing w:after="0" w:line="265" w:lineRule="exact"/>
              <w:rPr>
                <w:sz w:val="20"/>
                <w:szCs w:val="20"/>
                <w:color w:val="auto"/>
              </w:rPr>
            </w:pPr>
            <w:r>
              <w:rPr>
                <w:rFonts w:ascii="Wingdings" w:cs="Wingdings" w:eastAsia="Wingdings" w:hAnsi="Wingdings"/>
                <w:sz w:val="30"/>
                <w:szCs w:val="30"/>
                <w:b w:val="1"/>
                <w:bCs w:val="1"/>
                <w:color w:val="auto"/>
                <w:vertAlign w:val="subscript"/>
              </w:rPr>
              <w:t></w:t>
            </w:r>
            <w:r>
              <w:rPr>
                <w:rFonts w:ascii="Times New Roman" w:cs="Times New Roman" w:eastAsia="Times New Roman" w:hAnsi="Times New Roman"/>
                <w:sz w:val="16"/>
                <w:szCs w:val="16"/>
                <w:color w:val="auto"/>
              </w:rPr>
              <w:t xml:space="preserve"> To the best of my knowledge, the transaction requested above</w:t>
            </w:r>
          </w:p>
        </w:tc>
        <w:tc>
          <w:tcPr>
            <w:tcW w:w="0" w:type="dxa"/>
            <w:vAlign w:val="bottom"/>
          </w:tcPr>
          <w:p>
            <w:pPr>
              <w:spacing w:after="0"/>
              <w:rPr>
                <w:sz w:val="1"/>
                <w:szCs w:val="1"/>
                <w:color w:val="auto"/>
              </w:rPr>
            </w:pPr>
          </w:p>
        </w:tc>
      </w:tr>
      <w:tr>
        <w:trPr>
          <w:trHeight w:val="68"/>
        </w:trPr>
        <w:tc>
          <w:tcPr>
            <w:tcW w:w="54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that was not exempt from Section 16(b) of the Exchange Act.</w:t>
            </w:r>
          </w:p>
        </w:tc>
        <w:tc>
          <w:tcPr>
            <w:tcW w:w="5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80" w:type="dxa"/>
            <w:vAlign w:val="bottom"/>
            <w:vMerge w:val="continue"/>
          </w:tcPr>
          <w:p>
            <w:pPr>
              <w:spacing w:after="0"/>
              <w:rPr>
                <w:sz w:val="14"/>
                <w:szCs w:val="14"/>
                <w:color w:val="auto"/>
              </w:rPr>
            </w:pPr>
          </w:p>
        </w:tc>
        <w:tc>
          <w:tcPr>
            <w:tcW w:w="50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will meet all of the applicable conditions of Rule 144.</w:t>
            </w:r>
          </w:p>
        </w:tc>
        <w:tc>
          <w:tcPr>
            <w:tcW w:w="0" w:type="dxa"/>
            <w:vAlign w:val="bottom"/>
          </w:tcPr>
          <w:p>
            <w:pPr>
              <w:spacing w:after="0"/>
              <w:rPr>
                <w:sz w:val="1"/>
                <w:szCs w:val="1"/>
                <w:color w:val="auto"/>
              </w:rPr>
            </w:pPr>
          </w:p>
        </w:tc>
      </w:tr>
      <w:tr>
        <w:trPr>
          <w:trHeight w:val="68"/>
        </w:trPr>
        <w:tc>
          <w:tcPr>
            <w:tcW w:w="5480" w:type="dxa"/>
            <w:vAlign w:val="bottom"/>
          </w:tcPr>
          <w:p>
            <w:pPr>
              <w:spacing w:after="0"/>
              <w:rPr>
                <w:sz w:val="5"/>
                <w:szCs w:val="5"/>
                <w:color w:val="auto"/>
              </w:rPr>
            </w:pPr>
          </w:p>
        </w:tc>
        <w:tc>
          <w:tcPr>
            <w:tcW w:w="5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0"/>
        </w:trPr>
        <w:tc>
          <w:tcPr>
            <w:tcW w:w="5480" w:type="dxa"/>
            <w:vAlign w:val="bottom"/>
          </w:tcPr>
          <w:p>
            <w:pPr>
              <w:spacing w:after="0" w:line="403" w:lineRule="exact"/>
              <w:rPr>
                <w:sz w:val="20"/>
                <w:szCs w:val="20"/>
                <w:color w:val="auto"/>
              </w:rPr>
            </w:pPr>
            <w:r>
              <w:rPr>
                <w:rFonts w:ascii="MS PGothic" w:cs="MS PGothic" w:eastAsia="MS PGothic" w:hAnsi="MS PGothic"/>
                <w:sz w:val="35"/>
                <w:szCs w:val="35"/>
                <w:color w:val="auto"/>
                <w:vertAlign w:val="superscript"/>
              </w:rPr>
              <w:t>☐</w:t>
            </w:r>
            <w:r>
              <w:rPr>
                <w:rFonts w:ascii="Times New Roman" w:cs="Times New Roman" w:eastAsia="Times New Roman" w:hAnsi="Times New Roman"/>
                <w:sz w:val="18"/>
                <w:szCs w:val="18"/>
                <w:color w:val="auto"/>
              </w:rPr>
              <w:t xml:space="preserve"> None of the above.</w:t>
            </w:r>
          </w:p>
        </w:tc>
        <w:tc>
          <w:tcPr>
            <w:tcW w:w="5060" w:type="dxa"/>
            <w:vAlign w:val="bottom"/>
          </w:tcPr>
          <w:p>
            <w:pPr>
              <w:ind w:left="220"/>
              <w:spacing w:after="0"/>
              <w:rPr>
                <w:sz w:val="20"/>
                <w:szCs w:val="20"/>
                <w:color w:val="auto"/>
              </w:rPr>
            </w:pPr>
            <w:r>
              <w:rPr>
                <w:rFonts w:ascii="Wingdings" w:cs="Wingdings" w:eastAsia="Wingdings" w:hAnsi="Wingdings"/>
                <w:sz w:val="35"/>
                <w:szCs w:val="35"/>
                <w:b w:val="1"/>
                <w:bCs w:val="1"/>
                <w:color w:val="auto"/>
                <w:vertAlign w:val="subscript"/>
              </w:rPr>
              <w:t></w:t>
            </w:r>
            <w:r>
              <w:rPr>
                <w:rFonts w:ascii="Times New Roman" w:cs="Times New Roman" w:eastAsia="Times New Roman" w:hAnsi="Times New Roman"/>
                <w:sz w:val="18"/>
                <w:szCs w:val="18"/>
                <w:color w:val="auto"/>
              </w:rPr>
              <w:t xml:space="preserve"> The transaction requested will be made pursuant to an effective</w:t>
            </w:r>
          </w:p>
        </w:tc>
        <w:tc>
          <w:tcPr>
            <w:tcW w:w="0" w:type="dxa"/>
            <w:vAlign w:val="bottom"/>
          </w:tcPr>
          <w:p>
            <w:pPr>
              <w:spacing w:after="0"/>
              <w:rPr>
                <w:sz w:val="1"/>
                <w:szCs w:val="1"/>
                <w:color w:val="auto"/>
              </w:rPr>
            </w:pPr>
          </w:p>
        </w:tc>
      </w:tr>
      <w:tr>
        <w:trPr>
          <w:trHeight w:val="234"/>
        </w:trPr>
        <w:tc>
          <w:tcPr>
            <w:tcW w:w="5480" w:type="dxa"/>
            <w:vAlign w:val="bottom"/>
          </w:tcPr>
          <w:p>
            <w:pPr>
              <w:spacing w:after="0"/>
              <w:rPr>
                <w:sz w:val="20"/>
                <w:szCs w:val="20"/>
                <w:color w:val="auto"/>
              </w:rPr>
            </w:pPr>
          </w:p>
        </w:tc>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registration statement covering such transaction.</w:t>
            </w:r>
          </w:p>
        </w:tc>
        <w:tc>
          <w:tcPr>
            <w:tcW w:w="0" w:type="dxa"/>
            <w:vAlign w:val="bottom"/>
          </w:tcPr>
          <w:p>
            <w:pPr>
              <w:spacing w:after="0"/>
              <w:rPr>
                <w:sz w:val="1"/>
                <w:szCs w:val="1"/>
                <w:color w:val="auto"/>
              </w:rPr>
            </w:pPr>
          </w:p>
        </w:tc>
      </w:tr>
      <w:tr>
        <w:trPr>
          <w:trHeight w:val="440"/>
        </w:trPr>
        <w:tc>
          <w:tcPr>
            <w:tcW w:w="5480" w:type="dxa"/>
            <w:vAlign w:val="bottom"/>
          </w:tcPr>
          <w:p>
            <w:pPr>
              <w:spacing w:after="0"/>
              <w:rPr>
                <w:sz w:val="24"/>
                <w:szCs w:val="24"/>
                <w:color w:val="auto"/>
              </w:rPr>
            </w:pPr>
          </w:p>
        </w:tc>
        <w:tc>
          <w:tcPr>
            <w:tcW w:w="5060" w:type="dxa"/>
            <w:vAlign w:val="bottom"/>
          </w:tcPr>
          <w:p>
            <w:pPr>
              <w:ind w:left="220"/>
              <w:spacing w:after="0"/>
              <w:rPr>
                <w:sz w:val="20"/>
                <w:szCs w:val="20"/>
                <w:color w:val="auto"/>
              </w:rPr>
            </w:pPr>
            <w:r>
              <w:rPr>
                <w:rFonts w:ascii="Wingdings" w:cs="Wingdings" w:eastAsia="Wingdings" w:hAnsi="Wingdings"/>
                <w:sz w:val="35"/>
                <w:szCs w:val="35"/>
                <w:b w:val="1"/>
                <w:bCs w:val="1"/>
                <w:color w:val="auto"/>
                <w:vertAlign w:val="subscript"/>
              </w:rPr>
              <w:t></w:t>
            </w:r>
            <w:r>
              <w:rPr>
                <w:rFonts w:ascii="Times New Roman" w:cs="Times New Roman" w:eastAsia="Times New Roman" w:hAnsi="Times New Roman"/>
                <w:sz w:val="18"/>
                <w:szCs w:val="18"/>
                <w:color w:val="auto"/>
              </w:rPr>
              <w:t xml:space="preserve"> None of the above.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1127760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1" w:name="page122"/>
    <w:bookmarkEnd w:id="121"/>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45020" cy="20186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6">
                      <a:extLst>
                        <a:ext uri="{28A0092B-C50C-407E-A947-70E740481C1C}"/>
                      </a:extLst>
                    </a:blip>
                    <a:srcRect/>
                    <a:stretch>
                      <a:fillRect/>
                    </a:stretch>
                  </pic:blipFill>
                  <pic:spPr bwMode="auto">
                    <a:xfrm>
                      <a:off x="0" y="0"/>
                      <a:ext cx="7145020" cy="2018665"/>
                    </a:xfrm>
                    <a:prstGeom prst="rect">
                      <a:avLst/>
                    </a:prstGeom>
                    <a:noFill/>
                  </pic:spPr>
                </pic:pic>
              </a:graphicData>
            </a:graphic>
          </wp:anchor>
        </w:drawing>
      </w:r>
    </w:p>
    <w:p>
      <w:pPr>
        <w:spacing w:after="0" w:line="2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 hereby certify that I am not (1) in possession of any material nonpublic information concerning the Company, as defined in the Company’s Security Trading Policy and (2) purchasing any securities of the Company on margin in contravention of the Company’s Security Trading Policy. I understand that, if I trade while possessing such information or in violation of such trading restrictions, I may be subject to severe civil and/or criminal penalties and may be subject to discipline by the Company including termination of my employment.</w:t>
      </w:r>
    </w:p>
    <w:p>
      <w:pPr>
        <w:spacing w:after="0" w:line="200" w:lineRule="exact"/>
        <w:rPr>
          <w:sz w:val="20"/>
          <w:szCs w:val="20"/>
          <w:color w:val="auto"/>
        </w:rPr>
      </w:pPr>
    </w:p>
    <w:p>
      <w:pPr>
        <w:spacing w:after="0" w:line="209" w:lineRule="exact"/>
        <w:rPr>
          <w:sz w:val="20"/>
          <w:szCs w:val="20"/>
          <w:color w:val="auto"/>
        </w:rPr>
      </w:pPr>
    </w:p>
    <w:p>
      <w:pPr>
        <w:ind w:left="380"/>
        <w:spacing w:after="0"/>
        <w:tabs>
          <w:tab w:leader="none" w:pos="6100" w:val="left"/>
        </w:tabs>
        <w:rPr>
          <w:sz w:val="20"/>
          <w:szCs w:val="20"/>
          <w:color w:val="auto"/>
        </w:rPr>
      </w:pPr>
      <w:r>
        <w:rPr>
          <w:rFonts w:ascii="Times New Roman" w:cs="Times New Roman" w:eastAsia="Times New Roman" w:hAnsi="Times New Roman"/>
          <w:sz w:val="18"/>
          <w:szCs w:val="18"/>
          <w:color w:val="auto"/>
        </w:rPr>
        <w:t>Insider’s Signature</w:t>
      </w:r>
      <w:r>
        <w:rPr>
          <w:sz w:val="20"/>
          <w:szCs w:val="20"/>
          <w:color w:val="auto"/>
        </w:rPr>
        <w:tab/>
      </w:r>
      <w:r>
        <w:rPr>
          <w:rFonts w:ascii="Times New Roman" w:cs="Times New Roman" w:eastAsia="Times New Roman" w:hAnsi="Times New Roman"/>
          <w:sz w:val="18"/>
          <w:szCs w:val="18"/>
          <w:color w:val="auto"/>
        </w:rPr>
        <w:t>Date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APPROVAL</w:t>
      </w:r>
    </w:p>
    <w:p>
      <w:pPr>
        <w:spacing w:after="0" w:line="200" w:lineRule="exact"/>
        <w:rPr>
          <w:sz w:val="20"/>
          <w:szCs w:val="20"/>
          <w:color w:val="auto"/>
        </w:rPr>
      </w:pPr>
    </w:p>
    <w:p>
      <w:pPr>
        <w:spacing w:after="0" w:line="259" w:lineRule="exact"/>
        <w:rPr>
          <w:sz w:val="20"/>
          <w:szCs w:val="20"/>
          <w:color w:val="auto"/>
        </w:rPr>
      </w:pPr>
    </w:p>
    <w:p>
      <w:pPr>
        <w:ind w:left="380"/>
        <w:spacing w:after="0"/>
        <w:tabs>
          <w:tab w:leader="none" w:pos="6100" w:val="left"/>
        </w:tabs>
        <w:rPr>
          <w:sz w:val="20"/>
          <w:szCs w:val="20"/>
          <w:color w:val="auto"/>
        </w:rPr>
      </w:pPr>
      <w:r>
        <w:rPr>
          <w:rFonts w:ascii="Times New Roman" w:cs="Times New Roman" w:eastAsia="Times New Roman" w:hAnsi="Times New Roman"/>
          <w:sz w:val="18"/>
          <w:szCs w:val="18"/>
          <w:color w:val="auto"/>
        </w:rPr>
        <w:t>Signature of General Counsel (or designee)</w:t>
      </w:r>
      <w:r>
        <w:rPr>
          <w:sz w:val="20"/>
          <w:szCs w:val="20"/>
          <w:color w:val="auto"/>
        </w:rPr>
        <w:tab/>
      </w:r>
      <w:r>
        <w:rPr>
          <w:rFonts w:ascii="Times New Roman" w:cs="Times New Roman" w:eastAsia="Times New Roman" w:hAnsi="Times New Roman"/>
          <w:sz w:val="18"/>
          <w:szCs w:val="18"/>
          <w:color w:val="auto"/>
        </w:rPr>
        <w:t>Date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Multiple lots must be listed on separate forms or broken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27" w:right="459" w:bottom="1440" w:gutter="0" w:footer="0" w:header="0"/>
        </w:sectPr>
      </w:pPr>
    </w:p>
    <w:bookmarkStart w:id="122" w:name="page123"/>
    <w:bookmarkEnd w:id="122"/>
    <w:p>
      <w:pPr>
        <w:jc w:val="right"/>
        <w:spacing w:after="0"/>
        <w:rPr>
          <w:sz w:val="20"/>
          <w:szCs w:val="20"/>
          <w:color w:val="auto"/>
        </w:rPr>
      </w:pPr>
      <w:r>
        <w:rPr>
          <w:rFonts w:ascii="Arial" w:cs="Arial" w:eastAsia="Arial" w:hAnsi="Arial"/>
          <w:sz w:val="19"/>
          <w:szCs w:val="19"/>
          <w:b w:val="1"/>
          <w:bCs w:val="1"/>
          <w:color w:val="auto"/>
        </w:rPr>
        <w:t>Exhibit 21.1</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Subsidiaries of Nektar Therapeutics</w:t>
      </w:r>
    </w:p>
    <w:p>
      <w:pPr>
        <w:spacing w:after="0" w:line="349"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885825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w:t>
      </w:r>
    </w:p>
    <w:p>
      <w:pPr>
        <w:spacing w:after="0" w:line="208" w:lineRule="exact"/>
        <w:rPr>
          <w:sz w:val="20"/>
          <w:szCs w:val="20"/>
          <w:color w:val="auto"/>
        </w:rPr>
      </w:pPr>
    </w:p>
    <w:p>
      <w:pPr>
        <w:ind w:left="980" w:hanging="223"/>
        <w:spacing w:after="0"/>
        <w:tabs>
          <w:tab w:leader="none" w:pos="9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333-145259) pertaining to the 401(k) Retirement Plan of Nektar Therapeutics,</w:t>
      </w:r>
    </w:p>
    <w:p>
      <w:pPr>
        <w:spacing w:after="0" w:line="26"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333-170371) pertaining to the Employee Stock Purchase Plan of Nektar Therapeutics,</w:t>
      </w:r>
    </w:p>
    <w:p>
      <w:pPr>
        <w:spacing w:after="0" w:line="18"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333-183193) pertaining to the 2012 Performance Incentive Plan of Nektar Therapeutics,</w:t>
      </w:r>
    </w:p>
    <w:p>
      <w:pPr>
        <w:spacing w:after="0" w:line="18"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333-197781) pertaining to the Employee Stock Purchase Plan of Nektar Therapeutics,</w:t>
      </w:r>
    </w:p>
    <w:p>
      <w:pPr>
        <w:spacing w:after="0" w:line="18"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333-206136) pertaining to the 2012 Performance Incentive Plan of Nektar Therapeutics,</w:t>
      </w:r>
    </w:p>
    <w:p>
      <w:pPr>
        <w:spacing w:after="0" w:line="18"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333-218777) pertaining to the 2017 Performance Incentive Plan of Nektar Therapeutics,</w:t>
      </w:r>
    </w:p>
    <w:p>
      <w:pPr>
        <w:spacing w:after="0" w:line="18" w:lineRule="exact"/>
        <w:rPr>
          <w:rFonts w:ascii="Times New Roman" w:cs="Times New Roman" w:eastAsia="Times New Roman" w:hAnsi="Times New Roman"/>
          <w:sz w:val="16"/>
          <w:szCs w:val="16"/>
          <w:color w:val="auto"/>
        </w:rPr>
      </w:pPr>
    </w:p>
    <w:p>
      <w:pPr>
        <w:ind w:left="980" w:hanging="223"/>
        <w:spacing w:after="0"/>
        <w:tabs>
          <w:tab w:leader="none" w:pos="9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333-226004) pertaining to the Amended and Restated 2017 Performance Incentive Plan of Nektar Therapeutics,</w:t>
      </w:r>
    </w:p>
    <w:p>
      <w:pPr>
        <w:spacing w:after="0" w:line="18" w:lineRule="exact"/>
        <w:rPr>
          <w:rFonts w:ascii="Times New Roman" w:cs="Times New Roman" w:eastAsia="Times New Roman" w:hAnsi="Times New Roman"/>
          <w:sz w:val="16"/>
          <w:szCs w:val="16"/>
          <w:color w:val="auto"/>
        </w:rPr>
      </w:pPr>
    </w:p>
    <w:p>
      <w:pPr>
        <w:ind w:left="760" w:right="200" w:hanging="3"/>
        <w:spacing w:after="0" w:line="264" w:lineRule="auto"/>
        <w:tabs>
          <w:tab w:leader="none" w:pos="98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333-242327) pertaining to the Amended and Restated 2017 Performance Incentive Plan and Amended and Restated Employee Stock Purchase Plan of Nektar Therapeutics,</w:t>
      </w:r>
    </w:p>
    <w:p>
      <w:pPr>
        <w:ind w:left="980" w:hanging="223"/>
        <w:spacing w:after="0"/>
        <w:tabs>
          <w:tab w:leader="none" w:pos="98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333-258900) pertaining to the Amended and Restated 2017 Performance Incentive Plan of Nektar Therapeutics,</w:t>
      </w:r>
    </w:p>
    <w:p>
      <w:pPr>
        <w:spacing w:after="0" w:line="18" w:lineRule="exact"/>
        <w:rPr>
          <w:rFonts w:ascii="Times New Roman" w:cs="Times New Roman" w:eastAsia="Times New Roman" w:hAnsi="Times New Roman"/>
          <w:sz w:val="16"/>
          <w:szCs w:val="16"/>
          <w:color w:val="auto"/>
        </w:rPr>
      </w:pPr>
    </w:p>
    <w:p>
      <w:pPr>
        <w:ind w:left="1060" w:hanging="303"/>
        <w:spacing w:after="0"/>
        <w:tabs>
          <w:tab w:leader="none" w:pos="10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333-266580) pertaining to the Amended and Restated 2017 Performance Incentive Plan of Nektar Therapeutics,</w:t>
      </w:r>
    </w:p>
    <w:p>
      <w:pPr>
        <w:spacing w:after="0" w:line="18" w:lineRule="exact"/>
        <w:rPr>
          <w:rFonts w:ascii="Times New Roman" w:cs="Times New Roman" w:eastAsia="Times New Roman" w:hAnsi="Times New Roman"/>
          <w:sz w:val="16"/>
          <w:szCs w:val="16"/>
          <w:color w:val="auto"/>
        </w:rPr>
      </w:pPr>
    </w:p>
    <w:p>
      <w:pPr>
        <w:ind w:left="1060" w:hanging="303"/>
        <w:spacing w:after="0"/>
        <w:tabs>
          <w:tab w:leader="none" w:pos="10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333-273962) pertaining to the Amended and Restated 2017 Performance Incentive Plan of Nektar Therapeutics,</w:t>
      </w:r>
    </w:p>
    <w:p>
      <w:pPr>
        <w:spacing w:after="0" w:line="18" w:lineRule="exact"/>
        <w:rPr>
          <w:rFonts w:ascii="Times New Roman" w:cs="Times New Roman" w:eastAsia="Times New Roman" w:hAnsi="Times New Roman"/>
          <w:sz w:val="16"/>
          <w:szCs w:val="16"/>
          <w:color w:val="auto"/>
        </w:rPr>
      </w:pPr>
    </w:p>
    <w:p>
      <w:pPr>
        <w:ind w:left="1060" w:hanging="303"/>
        <w:spacing w:after="0"/>
        <w:tabs>
          <w:tab w:leader="none" w:pos="10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333-285827) pertaining to the Amended and Restated 2017 Performance Incentive Plan of Nektar Therapeutics,</w:t>
      </w:r>
    </w:p>
    <w:p>
      <w:pPr>
        <w:spacing w:after="0" w:line="18" w:lineRule="exact"/>
        <w:rPr>
          <w:rFonts w:ascii="Times New Roman" w:cs="Times New Roman" w:eastAsia="Times New Roman" w:hAnsi="Times New Roman"/>
          <w:sz w:val="16"/>
          <w:szCs w:val="16"/>
          <w:color w:val="auto"/>
        </w:rPr>
      </w:pPr>
    </w:p>
    <w:p>
      <w:pPr>
        <w:ind w:left="1060" w:hanging="303"/>
        <w:spacing w:after="0"/>
        <w:tabs>
          <w:tab w:leader="none" w:pos="10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333-289394) pertaining to the Amended and Restated 2017 Performance Incentive Plan of Nektar Therapeutics,</w:t>
      </w:r>
    </w:p>
    <w:p>
      <w:pPr>
        <w:spacing w:after="0" w:line="18" w:lineRule="exact"/>
        <w:rPr>
          <w:rFonts w:ascii="Times New Roman" w:cs="Times New Roman" w:eastAsia="Times New Roman" w:hAnsi="Times New Roman"/>
          <w:sz w:val="16"/>
          <w:szCs w:val="16"/>
          <w:color w:val="auto"/>
        </w:rPr>
      </w:pPr>
    </w:p>
    <w:p>
      <w:pPr>
        <w:ind w:left="1060" w:hanging="303"/>
        <w:spacing w:after="0"/>
        <w:tabs>
          <w:tab w:leader="none" w:pos="10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S-8 No. 333-291471) pertaining to the 2025 Inducement Plan of Nektar Therapeutics,</w:t>
      </w:r>
    </w:p>
    <w:p>
      <w:pPr>
        <w:spacing w:after="0" w:line="18" w:lineRule="exact"/>
        <w:rPr>
          <w:rFonts w:ascii="Times New Roman" w:cs="Times New Roman" w:eastAsia="Times New Roman" w:hAnsi="Times New Roman"/>
          <w:sz w:val="16"/>
          <w:szCs w:val="16"/>
          <w:color w:val="auto"/>
        </w:rPr>
      </w:pPr>
    </w:p>
    <w:p>
      <w:pPr>
        <w:ind w:left="1060" w:hanging="303"/>
        <w:spacing w:after="0"/>
        <w:tabs>
          <w:tab w:leader="none" w:pos="10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S-3 No. 333-279760) of Nektar Therapeutics;</w:t>
      </w:r>
    </w:p>
    <w:p>
      <w:pPr>
        <w:spacing w:after="0" w:line="18" w:lineRule="exact"/>
        <w:rPr>
          <w:rFonts w:ascii="Times New Roman" w:cs="Times New Roman" w:eastAsia="Times New Roman" w:hAnsi="Times New Roman"/>
          <w:sz w:val="16"/>
          <w:szCs w:val="16"/>
          <w:color w:val="auto"/>
        </w:rPr>
      </w:pPr>
    </w:p>
    <w:p>
      <w:pPr>
        <w:ind w:left="1060" w:hanging="303"/>
        <w:spacing w:after="0"/>
        <w:tabs>
          <w:tab w:leader="none" w:pos="10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S-3 No. 333-286222) of Nektar Therapeutics, and</w:t>
      </w:r>
    </w:p>
    <w:p>
      <w:pPr>
        <w:spacing w:after="0" w:line="18" w:lineRule="exact"/>
        <w:rPr>
          <w:rFonts w:ascii="Times New Roman" w:cs="Times New Roman" w:eastAsia="Times New Roman" w:hAnsi="Times New Roman"/>
          <w:sz w:val="16"/>
          <w:szCs w:val="16"/>
          <w:color w:val="auto"/>
        </w:rPr>
      </w:pPr>
    </w:p>
    <w:p>
      <w:pPr>
        <w:ind w:left="1060" w:hanging="303"/>
        <w:spacing w:after="0"/>
        <w:tabs>
          <w:tab w:leader="none" w:pos="106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(Form S-3 No. 333-291466) of Nektar Therapeutics;</w:t>
      </w:r>
    </w:p>
    <w:p>
      <w:pPr>
        <w:spacing w:after="0" w:line="200" w:lineRule="exact"/>
        <w:rPr>
          <w:sz w:val="20"/>
          <w:szCs w:val="20"/>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of our report dated March 12, 2026, with respect to the consolidated financial statements of Nektar Therapeutics included in this Annual Report (Form 10-K) of Nektar Therapeutics for the year ended December 31, 2025.</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Mateo,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1143000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0" w:right="379" w:bottom="1440" w:gutter="0" w:footer="0" w:header="0"/>
        </w:sectPr>
      </w:pPr>
    </w:p>
    <w:bookmarkStart w:id="124" w:name="page125"/>
    <w:bookmarkEnd w:id="124"/>
    <w:p>
      <w:pPr>
        <w:jc w:val="right"/>
        <w:spacing w:after="0"/>
        <w:rPr>
          <w:sz w:val="20"/>
          <w:szCs w:val="20"/>
          <w:color w:val="auto"/>
        </w:rPr>
      </w:pPr>
      <w:r>
        <w:rPr>
          <w:rFonts w:ascii="Arial" w:cs="Arial" w:eastAsia="Arial" w:hAnsi="Arial"/>
          <w:sz w:val="15"/>
          <w:szCs w:val="15"/>
          <w:b w:val="1"/>
          <w:bCs w:val="1"/>
          <w:color w:val="auto"/>
        </w:rPr>
        <w:t>Exhibit 31.1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I, Howard W. Robin, certify that:</w:t>
      </w:r>
    </w:p>
    <w:p>
      <w:pPr>
        <w:spacing w:after="0" w:line="165"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Nektar Therapeutics for the year ended December 31, 2025;</w:t>
      </w:r>
    </w:p>
    <w:p>
      <w:pPr>
        <w:spacing w:after="0" w:line="165" w:lineRule="exact"/>
        <w:rPr>
          <w:rFonts w:ascii="Arial" w:cs="Arial" w:eastAsia="Arial" w:hAnsi="Arial"/>
          <w:sz w:val="15"/>
          <w:szCs w:val="15"/>
          <w:color w:val="auto"/>
        </w:rPr>
      </w:pPr>
    </w:p>
    <w:p>
      <w:pPr>
        <w:ind w:left="520" w:right="40" w:hanging="512"/>
        <w:spacing w:after="0" w:line="264" w:lineRule="auto"/>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5"/>
          <w:szCs w:val="15"/>
          <w:color w:val="auto"/>
        </w:rPr>
      </w:pPr>
    </w:p>
    <w:p>
      <w:pPr>
        <w:ind w:left="520" w:right="400" w:hanging="512"/>
        <w:spacing w:after="0" w:line="264" w:lineRule="auto"/>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5"/>
          <w:szCs w:val="15"/>
          <w:color w:val="auto"/>
        </w:rPr>
      </w:pPr>
    </w:p>
    <w:p>
      <w:pPr>
        <w:ind w:left="520" w:right="160" w:hanging="512"/>
        <w:spacing w:after="0" w:line="244" w:lineRule="auto"/>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5"/>
          <w:szCs w:val="15"/>
          <w:color w:val="auto"/>
        </w:rPr>
      </w:pPr>
    </w:p>
    <w:p>
      <w:pPr>
        <w:ind w:left="1020" w:right="200" w:hanging="503"/>
        <w:spacing w:after="0" w:line="244" w:lineRule="auto"/>
        <w:tabs>
          <w:tab w:leader="none" w:pos="1020" w:val="left"/>
        </w:tabs>
        <w:numPr>
          <w:ilvl w:val="1"/>
          <w:numId w:val="7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5"/>
          <w:szCs w:val="15"/>
          <w:color w:val="auto"/>
        </w:rPr>
      </w:pPr>
    </w:p>
    <w:p>
      <w:pPr>
        <w:jc w:val="both"/>
        <w:ind w:left="1020" w:right="20" w:hanging="503"/>
        <w:spacing w:after="0" w:line="244" w:lineRule="auto"/>
        <w:tabs>
          <w:tab w:leader="none" w:pos="1020" w:val="left"/>
        </w:tabs>
        <w:numPr>
          <w:ilvl w:val="1"/>
          <w:numId w:val="7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5"/>
          <w:szCs w:val="15"/>
          <w:color w:val="auto"/>
        </w:rPr>
      </w:pPr>
    </w:p>
    <w:p>
      <w:pPr>
        <w:ind w:left="1020" w:right="80" w:hanging="503"/>
        <w:spacing w:after="0" w:line="264" w:lineRule="auto"/>
        <w:tabs>
          <w:tab w:leader="none" w:pos="1020" w:val="left"/>
        </w:tabs>
        <w:numPr>
          <w:ilvl w:val="1"/>
          <w:numId w:val="7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5"/>
          <w:szCs w:val="15"/>
          <w:color w:val="auto"/>
        </w:rPr>
      </w:pPr>
    </w:p>
    <w:p>
      <w:pPr>
        <w:jc w:val="both"/>
        <w:ind w:left="1020" w:hanging="503"/>
        <w:spacing w:after="0" w:line="244" w:lineRule="auto"/>
        <w:tabs>
          <w:tab w:leader="none" w:pos="1020" w:val="left"/>
        </w:tabs>
        <w:numPr>
          <w:ilvl w:val="1"/>
          <w:numId w:val="7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5"/>
          <w:szCs w:val="15"/>
          <w:color w:val="auto"/>
        </w:rPr>
      </w:pPr>
    </w:p>
    <w:p>
      <w:pPr>
        <w:ind w:left="520" w:right="720" w:hanging="512"/>
        <w:spacing w:after="0" w:line="264" w:lineRule="auto"/>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5"/>
          <w:szCs w:val="15"/>
          <w:color w:val="auto"/>
        </w:rPr>
      </w:pPr>
    </w:p>
    <w:p>
      <w:pPr>
        <w:ind w:left="1020" w:right="100" w:hanging="503"/>
        <w:spacing w:after="0" w:line="264" w:lineRule="auto"/>
        <w:tabs>
          <w:tab w:leader="none" w:pos="1020" w:val="left"/>
        </w:tabs>
        <w:numPr>
          <w:ilvl w:val="1"/>
          <w:numId w:val="7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5"/>
          <w:szCs w:val="15"/>
          <w:color w:val="auto"/>
        </w:rPr>
      </w:pPr>
    </w:p>
    <w:p>
      <w:pPr>
        <w:ind w:left="1020" w:right="260" w:hanging="503"/>
        <w:spacing w:after="0" w:line="264" w:lineRule="auto"/>
        <w:tabs>
          <w:tab w:leader="none" w:pos="1020" w:val="left"/>
        </w:tabs>
        <w:numPr>
          <w:ilvl w:val="1"/>
          <w:numId w:val="7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Date: March 12, 2026</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/s/ HOWARD W. ROBIN</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Howard W. Robin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Chief Executive Officer, President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5"/>
          <w:szCs w:val="15"/>
          <w:b w:val="1"/>
          <w:bCs w:val="1"/>
          <w:color w:val="auto"/>
        </w:rPr>
        <w:t>Exhibit 31.2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I, Sandra Gardiner, certify that:</w:t>
      </w:r>
    </w:p>
    <w:p>
      <w:pPr>
        <w:spacing w:after="0" w:line="165"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Nektar Therapeutics for the year ended December 31, 2025;</w:t>
      </w:r>
    </w:p>
    <w:p>
      <w:pPr>
        <w:spacing w:after="0" w:line="165" w:lineRule="exact"/>
        <w:rPr>
          <w:rFonts w:ascii="Arial" w:cs="Arial" w:eastAsia="Arial" w:hAnsi="Arial"/>
          <w:sz w:val="15"/>
          <w:szCs w:val="15"/>
          <w:color w:val="auto"/>
        </w:rPr>
      </w:pPr>
    </w:p>
    <w:p>
      <w:pPr>
        <w:ind w:left="520" w:right="40" w:hanging="512"/>
        <w:spacing w:after="0" w:line="264" w:lineRule="auto"/>
        <w:tabs>
          <w:tab w:leader="none" w:pos="5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5"/>
          <w:szCs w:val="15"/>
          <w:color w:val="auto"/>
        </w:rPr>
      </w:pPr>
    </w:p>
    <w:p>
      <w:pPr>
        <w:ind w:left="520" w:right="400" w:hanging="512"/>
        <w:spacing w:after="0" w:line="264" w:lineRule="auto"/>
        <w:tabs>
          <w:tab w:leader="none" w:pos="5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5"/>
          <w:szCs w:val="15"/>
          <w:color w:val="auto"/>
        </w:rPr>
      </w:pPr>
    </w:p>
    <w:p>
      <w:pPr>
        <w:ind w:left="520" w:right="160" w:hanging="512"/>
        <w:spacing w:after="0" w:line="244" w:lineRule="auto"/>
        <w:tabs>
          <w:tab w:leader="none" w:pos="5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5"/>
          <w:szCs w:val="15"/>
          <w:color w:val="auto"/>
        </w:rPr>
      </w:pPr>
    </w:p>
    <w:p>
      <w:pPr>
        <w:ind w:left="1020" w:right="200" w:hanging="503"/>
        <w:spacing w:after="0" w:line="244" w:lineRule="auto"/>
        <w:tabs>
          <w:tab w:leader="none" w:pos="1020" w:val="left"/>
        </w:tabs>
        <w:numPr>
          <w:ilvl w:val="1"/>
          <w:numId w:val="7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5"/>
          <w:szCs w:val="15"/>
          <w:color w:val="auto"/>
        </w:rPr>
      </w:pPr>
    </w:p>
    <w:p>
      <w:pPr>
        <w:jc w:val="both"/>
        <w:ind w:left="1020" w:right="20" w:hanging="503"/>
        <w:spacing w:after="0" w:line="244" w:lineRule="auto"/>
        <w:tabs>
          <w:tab w:leader="none" w:pos="1020" w:val="left"/>
        </w:tabs>
        <w:numPr>
          <w:ilvl w:val="1"/>
          <w:numId w:val="7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5"/>
          <w:szCs w:val="15"/>
          <w:color w:val="auto"/>
        </w:rPr>
      </w:pPr>
    </w:p>
    <w:p>
      <w:pPr>
        <w:ind w:left="1020" w:right="80" w:hanging="503"/>
        <w:spacing w:after="0" w:line="264" w:lineRule="auto"/>
        <w:tabs>
          <w:tab w:leader="none" w:pos="1020" w:val="left"/>
        </w:tabs>
        <w:numPr>
          <w:ilvl w:val="1"/>
          <w:numId w:val="7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5"/>
          <w:szCs w:val="15"/>
          <w:color w:val="auto"/>
        </w:rPr>
      </w:pPr>
    </w:p>
    <w:p>
      <w:pPr>
        <w:jc w:val="both"/>
        <w:ind w:left="1020" w:hanging="503"/>
        <w:spacing w:after="0" w:line="244" w:lineRule="auto"/>
        <w:tabs>
          <w:tab w:leader="none" w:pos="1020" w:val="left"/>
        </w:tabs>
        <w:numPr>
          <w:ilvl w:val="1"/>
          <w:numId w:val="71"/>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Arial" w:cs="Arial" w:eastAsia="Arial" w:hAnsi="Arial"/>
          <w:sz w:val="15"/>
          <w:szCs w:val="15"/>
          <w:color w:val="auto"/>
        </w:rPr>
      </w:pPr>
    </w:p>
    <w:p>
      <w:pPr>
        <w:ind w:left="520" w:right="720" w:hanging="512"/>
        <w:spacing w:after="0" w:line="264" w:lineRule="auto"/>
        <w:tabs>
          <w:tab w:leader="none" w:pos="52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5"/>
          <w:szCs w:val="15"/>
          <w:color w:val="auto"/>
        </w:rPr>
      </w:pPr>
    </w:p>
    <w:p>
      <w:pPr>
        <w:ind w:left="1020" w:right="100" w:hanging="503"/>
        <w:spacing w:after="0" w:line="264" w:lineRule="auto"/>
        <w:tabs>
          <w:tab w:leader="none" w:pos="1020" w:val="left"/>
        </w:tabs>
        <w:numPr>
          <w:ilvl w:val="1"/>
          <w:numId w:val="7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5"/>
          <w:szCs w:val="15"/>
          <w:color w:val="auto"/>
        </w:rPr>
      </w:pPr>
    </w:p>
    <w:p>
      <w:pPr>
        <w:ind w:left="1020" w:right="260" w:hanging="503"/>
        <w:spacing w:after="0" w:line="264" w:lineRule="auto"/>
        <w:tabs>
          <w:tab w:leader="none" w:pos="1020" w:val="left"/>
        </w:tabs>
        <w:numPr>
          <w:ilvl w:val="1"/>
          <w:numId w:val="71"/>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auto"/>
        </w:rPr>
        <w:t>Date: March 12, 2026</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/s/ Sandra Gardiner</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Sandra Gardiner</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5"/>
          <w:szCs w:val="15"/>
          <w:b w:val="1"/>
          <w:bCs w:val="1"/>
          <w:color w:val="auto"/>
        </w:rPr>
        <w:t>Exhibit 32.1</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1350 CERTIFICATIONS*</w:t>
      </w:r>
    </w:p>
    <w:p>
      <w:pPr>
        <w:spacing w:after="0" w:line="167" w:lineRule="exact"/>
        <w:rPr>
          <w:sz w:val="20"/>
          <w:szCs w:val="20"/>
          <w:color w:val="auto"/>
        </w:rPr>
      </w:pPr>
    </w:p>
    <w:p>
      <w:pPr>
        <w:ind w:right="220" w:firstLine="644"/>
        <w:spacing w:after="0" w:line="244" w:lineRule="auto"/>
        <w:rPr>
          <w:sz w:val="20"/>
          <w:szCs w:val="20"/>
          <w:color w:val="auto"/>
        </w:rPr>
      </w:pPr>
      <w:r>
        <w:rPr>
          <w:rFonts w:ascii="Arial" w:cs="Arial" w:eastAsia="Arial" w:hAnsi="Arial"/>
          <w:sz w:val="15"/>
          <w:szCs w:val="15"/>
          <w:color w:val="auto"/>
        </w:rPr>
        <w:t>Pursuant to the requirement set forth in Rule 13a-14(b) of the Securities Exchange Act of 1934, as amended (the “Exchange Act”), and Section 1350 of Chapter 63 of Title 18 of the United States Code (18 U.S.C. § 1350), Howard W. Robin, Chief Executive Officer, President and Director of Nektar Therapeutics (the “Company”), and Sandra Gardiner, Interim Chief Financial Officer of the Company, each hereby certifies that, to the best of his or her knowledge:</w:t>
      </w:r>
    </w:p>
    <w:p>
      <w:pPr>
        <w:spacing w:after="0" w:line="108" w:lineRule="exact"/>
        <w:rPr>
          <w:sz w:val="20"/>
          <w:szCs w:val="20"/>
          <w:color w:val="auto"/>
        </w:rPr>
      </w:pPr>
    </w:p>
    <w:p>
      <w:pPr>
        <w:ind w:left="1160" w:right="380" w:hanging="508"/>
        <w:spacing w:after="0" w:line="264" w:lineRule="auto"/>
        <w:tabs>
          <w:tab w:leader="none" w:pos="11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Company’s Annual Report on Form 10-K, for the year ended December 31, 2025, to which this Certification is attached as Exhibit 32.1 (the “Annual Report”), fully complies with the requirements of Section 13(a) or 15(d) of the Exchange Act; and</w:t>
      </w:r>
    </w:p>
    <w:p>
      <w:pPr>
        <w:spacing w:after="0" w:line="106" w:lineRule="exact"/>
        <w:rPr>
          <w:rFonts w:ascii="Arial" w:cs="Arial" w:eastAsia="Arial" w:hAnsi="Arial"/>
          <w:sz w:val="15"/>
          <w:szCs w:val="15"/>
          <w:color w:val="auto"/>
        </w:rPr>
      </w:pPr>
    </w:p>
    <w:p>
      <w:pPr>
        <w:ind w:left="1160" w:right="580" w:hanging="508"/>
        <w:spacing w:after="0" w:line="264" w:lineRule="auto"/>
        <w:tabs>
          <w:tab w:leader="none" w:pos="11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information contained in the Annual Report fairly presents, in all material respects, the financial condition and results of operations of the Company for the period covered by the Annual Report.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560" w:type="dxa"/>
            <w:vAlign w:val="bottom"/>
          </w:tcPr>
          <w:p>
            <w:pPr>
              <w:spacing w:after="0"/>
              <w:rPr>
                <w:sz w:val="20"/>
                <w:szCs w:val="20"/>
                <w:color w:val="auto"/>
              </w:rPr>
            </w:pPr>
            <w:r>
              <w:rPr>
                <w:rFonts w:ascii="Arial" w:cs="Arial" w:eastAsia="Arial" w:hAnsi="Arial"/>
                <w:sz w:val="15"/>
                <w:szCs w:val="15"/>
                <w:color w:val="auto"/>
              </w:rPr>
              <w:t>Dated: March 12, 2026</w:t>
            </w:r>
          </w:p>
        </w:tc>
        <w:tc>
          <w:tcPr>
            <w:tcW w:w="214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357"/>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H</w:t>
            </w:r>
            <w:r>
              <w:rPr>
                <w:rFonts w:ascii="Arial" w:cs="Arial" w:eastAsia="Arial" w:hAnsi="Arial"/>
                <w:sz w:val="11"/>
                <w:szCs w:val="11"/>
                <w:color w:val="auto"/>
              </w:rPr>
              <w:t>OWARD</w:t>
            </w:r>
            <w:r>
              <w:rPr>
                <w:rFonts w:ascii="Arial" w:cs="Arial" w:eastAsia="Arial" w:hAnsi="Arial"/>
                <w:sz w:val="15"/>
                <w:szCs w:val="15"/>
                <w:color w:val="auto"/>
              </w:rPr>
              <w:t xml:space="preserve"> W. R</w:t>
            </w:r>
            <w:r>
              <w:rPr>
                <w:rFonts w:ascii="Arial" w:cs="Arial" w:eastAsia="Arial" w:hAnsi="Arial"/>
                <w:sz w:val="11"/>
                <w:szCs w:val="11"/>
                <w:color w:val="auto"/>
              </w:rPr>
              <w:t>OBIN</w:t>
            </w:r>
          </w:p>
        </w:tc>
        <w:tc>
          <w:tcPr>
            <w:tcW w:w="2140" w:type="dxa"/>
            <w:vAlign w:val="bottom"/>
          </w:tcPr>
          <w:p>
            <w:pPr>
              <w:spacing w:after="0"/>
              <w:rPr>
                <w:sz w:val="24"/>
                <w:szCs w:val="24"/>
                <w:color w:val="auto"/>
              </w:rPr>
            </w:pPr>
          </w:p>
        </w:tc>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Sandra Gardiner</w:t>
            </w:r>
          </w:p>
        </w:tc>
      </w:tr>
      <w:tr>
        <w:trPr>
          <w:trHeight w:val="177"/>
        </w:trPr>
        <w:tc>
          <w:tcPr>
            <w:tcW w:w="4560" w:type="dxa"/>
            <w:vAlign w:val="bottom"/>
          </w:tcPr>
          <w:p>
            <w:pPr>
              <w:ind w:left="20"/>
              <w:spacing w:after="0"/>
              <w:rPr>
                <w:sz w:val="20"/>
                <w:szCs w:val="20"/>
                <w:color w:val="auto"/>
              </w:rPr>
            </w:pPr>
            <w:r>
              <w:rPr>
                <w:rFonts w:ascii="Arial" w:cs="Arial" w:eastAsia="Arial" w:hAnsi="Arial"/>
                <w:sz w:val="15"/>
                <w:szCs w:val="15"/>
                <w:b w:val="1"/>
                <w:bCs w:val="1"/>
                <w:color w:val="auto"/>
              </w:rPr>
              <w:t>Howard W. Robin</w:t>
            </w:r>
          </w:p>
        </w:tc>
        <w:tc>
          <w:tcPr>
            <w:tcW w:w="2140" w:type="dxa"/>
            <w:vAlign w:val="bottom"/>
          </w:tcPr>
          <w:p>
            <w:pPr>
              <w:spacing w:after="0"/>
              <w:rPr>
                <w:sz w:val="15"/>
                <w:szCs w:val="15"/>
                <w:color w:val="auto"/>
              </w:rPr>
            </w:pPr>
          </w:p>
        </w:tc>
        <w:tc>
          <w:tcPr>
            <w:tcW w:w="4540" w:type="dxa"/>
            <w:vAlign w:val="bottom"/>
          </w:tcPr>
          <w:p>
            <w:pPr>
              <w:ind w:left="20"/>
              <w:spacing w:after="0"/>
              <w:rPr>
                <w:sz w:val="20"/>
                <w:szCs w:val="20"/>
                <w:color w:val="auto"/>
              </w:rPr>
            </w:pPr>
            <w:r>
              <w:rPr>
                <w:rFonts w:ascii="Arial" w:cs="Arial" w:eastAsia="Arial" w:hAnsi="Arial"/>
                <w:sz w:val="15"/>
                <w:szCs w:val="15"/>
                <w:b w:val="1"/>
                <w:bCs w:val="1"/>
                <w:color w:val="auto"/>
              </w:rPr>
              <w:t>Sandra Gardiner</w:t>
            </w:r>
          </w:p>
        </w:tc>
      </w:tr>
      <w:tr>
        <w:trPr>
          <w:trHeight w:val="210"/>
        </w:trPr>
        <w:tc>
          <w:tcPr>
            <w:tcW w:w="4560" w:type="dxa"/>
            <w:vAlign w:val="bottom"/>
          </w:tcPr>
          <w:p>
            <w:pPr>
              <w:ind w:left="20"/>
              <w:spacing w:after="0"/>
              <w:rPr>
                <w:sz w:val="20"/>
                <w:szCs w:val="20"/>
                <w:color w:val="auto"/>
              </w:rPr>
            </w:pPr>
            <w:r>
              <w:rPr>
                <w:rFonts w:ascii="Arial" w:cs="Arial" w:eastAsia="Arial" w:hAnsi="Arial"/>
                <w:sz w:val="15"/>
                <w:szCs w:val="15"/>
                <w:b w:val="1"/>
                <w:bCs w:val="1"/>
                <w:color w:val="auto"/>
              </w:rPr>
              <w:t>Chief Executive Officer, President and Director</w:t>
            </w:r>
          </w:p>
        </w:tc>
        <w:tc>
          <w:tcPr>
            <w:tcW w:w="214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5"/>
                <w:szCs w:val="15"/>
                <w:b w:val="1"/>
                <w:bCs w:val="1"/>
                <w:color w:val="auto"/>
              </w:rPr>
              <w:t>Interim Chief Financial Officer</w:t>
            </w:r>
          </w:p>
        </w:tc>
      </w:tr>
    </w:tbl>
    <w:p>
      <w:pPr>
        <w:spacing w:after="0" w:line="377" w:lineRule="exact"/>
        <w:rPr>
          <w:sz w:val="20"/>
          <w:szCs w:val="20"/>
          <w:color w:val="auto"/>
        </w:rPr>
      </w:pPr>
    </w:p>
    <w:p>
      <w:pPr>
        <w:ind w:left="520" w:right="40" w:hanging="512"/>
        <w:spacing w:after="0" w:line="259" w:lineRule="auto"/>
        <w:tabs>
          <w:tab w:leader="none" w:pos="520" w:val="left"/>
        </w:tabs>
        <w:numPr>
          <w:ilvl w:val="0"/>
          <w:numId w:val="73"/>
        </w:numPr>
        <w:rPr>
          <w:rFonts w:ascii="Times New Roman" w:cs="Times New Roman" w:eastAsia="Times New Roman" w:hAnsi="Times New Roman"/>
          <w:sz w:val="13"/>
          <w:szCs w:val="13"/>
          <w:color w:val="auto"/>
        </w:rPr>
      </w:pPr>
      <w:r>
        <w:rPr>
          <w:rFonts w:ascii="Arial" w:cs="Arial" w:eastAsia="Arial" w:hAnsi="Arial"/>
          <w:sz w:val="13"/>
          <w:szCs w:val="13"/>
          <w:color w:val="auto"/>
        </w:rPr>
        <w:t>This certification accompanies the Annual Report on Form 10-K,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color w:val="auto"/>
        </w:rPr>
        <w:t>Exhibit 97</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NEKTAR THERAPEUTICS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as of June 8, 2023</w:t>
      </w:r>
    </w:p>
    <w:p>
      <w:pPr>
        <w:spacing w:after="0" w:line="2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Nektar Therapeutics,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Compensation Recovery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described below.</w:t>
      </w:r>
    </w:p>
    <w:p>
      <w:pPr>
        <w:spacing w:after="0" w:line="154" w:lineRule="exact"/>
        <w:rPr>
          <w:sz w:val="20"/>
          <w:szCs w:val="20"/>
          <w:color w:val="auto"/>
        </w:rPr>
      </w:pPr>
    </w:p>
    <w:p>
      <w:pPr>
        <w:ind w:left="440" w:hanging="432"/>
        <w:spacing w:after="0"/>
        <w:tabs>
          <w:tab w:leader="none" w:pos="44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ind w:right="520"/>
        <w:spacing w:after="0" w:line="238" w:lineRule="auto"/>
        <w:rPr>
          <w:sz w:val="20"/>
          <w:szCs w:val="20"/>
          <w:color w:val="auto"/>
        </w:rPr>
      </w:pPr>
      <w:r>
        <w:rPr>
          <w:rFonts w:ascii="Times New Roman" w:cs="Times New Roman" w:eastAsia="Times New Roman" w:hAnsi="Times New Roman"/>
          <w:sz w:val="22"/>
          <w:szCs w:val="22"/>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Nasdaq Stock Market. Please refer to Section 3 below for definitions of capitalized terms used and not otherwise defined herein.</w:t>
      </w:r>
    </w:p>
    <w:p>
      <w:pPr>
        <w:spacing w:after="0" w:line="173" w:lineRule="exact"/>
        <w:rPr>
          <w:sz w:val="20"/>
          <w:szCs w:val="20"/>
          <w:color w:val="auto"/>
        </w:rPr>
      </w:pPr>
    </w:p>
    <w:p>
      <w:pPr>
        <w:ind w:left="440" w:hanging="432"/>
        <w:spacing w:after="0"/>
        <w:tabs>
          <w:tab w:leader="none" w:pos="44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10"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w:t>
      </w:r>
    </w:p>
    <w:p>
      <w:pPr>
        <w:spacing w:after="0" w:line="169" w:lineRule="exact"/>
        <w:rPr>
          <w:sz w:val="20"/>
          <w:szCs w:val="20"/>
          <w:color w:val="auto"/>
        </w:rPr>
      </w:pPr>
    </w:p>
    <w:p>
      <w:pPr>
        <w:ind w:left="440" w:hanging="432"/>
        <w:spacing w:after="0"/>
        <w:tabs>
          <w:tab w:leader="none" w:pos="44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10" w:lineRule="exact"/>
        <w:rPr>
          <w:rFonts w:ascii="Times New Roman" w:cs="Times New Roman" w:eastAsia="Times New Roman" w:hAnsi="Times New Roman"/>
          <w:sz w:val="22"/>
          <w:szCs w:val="22"/>
          <w:b w:val="1"/>
          <w:bCs w:val="1"/>
          <w:color w:val="auto"/>
        </w:rPr>
      </w:pPr>
    </w:p>
    <w:p>
      <w:pPr>
        <w:ind w:left="1140" w:right="20" w:hanging="383"/>
        <w:spacing w:after="0" w:line="238" w:lineRule="auto"/>
        <w:tabs>
          <w:tab w:leader="none" w:pos="11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Recovery Period</w:t>
      </w:r>
      <w:r>
        <w:rPr>
          <w:rFonts w:ascii="Times New Roman" w:cs="Times New Roman" w:eastAsia="Times New Roman" w:hAnsi="Times New Roman"/>
          <w:sz w:val="22"/>
          <w:szCs w:val="22"/>
          <w:color w:val="auto"/>
        </w:rPr>
        <w:t>” means with respect to a Material Financial Restatement, the three completed fiscal years immediately preceding the Restatement Date for such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44" w:lineRule="auto"/>
        <w:tabs>
          <w:tab w:leader="none" w:pos="11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Rules</w:t>
      </w:r>
      <w:r>
        <w:rPr>
          <w:rFonts w:ascii="Times New Roman" w:cs="Times New Roman" w:eastAsia="Times New Roman" w:hAnsi="Times New Roman"/>
          <w:sz w:val="22"/>
          <w:szCs w:val="22"/>
          <w:color w:val="auto"/>
        </w:rPr>
        <w:t>” means any rules or regulations adopted by the Exchange pursuant to Rule 10D-1 under the Exchange Act and any applicable rules or regulations adopted by the SEC pursuant to Section 10D of the Exchange Act.</w:t>
      </w:r>
    </w:p>
    <w:p>
      <w:pPr>
        <w:spacing w:after="0" w:line="17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6" w:lineRule="exact"/>
        <w:rPr>
          <w:rFonts w:ascii="Times New Roman" w:cs="Times New Roman" w:eastAsia="Times New Roman" w:hAnsi="Times New Roman"/>
          <w:sz w:val="22"/>
          <w:szCs w:val="22"/>
          <w:color w:val="auto"/>
        </w:rPr>
      </w:pPr>
    </w:p>
    <w:p>
      <w:pPr>
        <w:ind w:left="1140" w:right="780" w:hanging="383"/>
        <w:spacing w:after="0" w:line="258" w:lineRule="auto"/>
        <w:tabs>
          <w:tab w:leader="none" w:pos="11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Organization and Compensation Committee of the Board or, in the absence of such committee, a majority of independent directors serving on the Board.</w:t>
      </w:r>
    </w:p>
    <w:p>
      <w:pPr>
        <w:spacing w:after="0" w:line="158" w:lineRule="exact"/>
        <w:rPr>
          <w:rFonts w:ascii="Times New Roman" w:cs="Times New Roman" w:eastAsia="Times New Roman" w:hAnsi="Times New Roman"/>
          <w:sz w:val="22"/>
          <w:szCs w:val="22"/>
          <w:color w:val="auto"/>
        </w:rPr>
      </w:pPr>
    </w:p>
    <w:p>
      <w:pPr>
        <w:ind w:left="1140" w:right="20" w:hanging="383"/>
        <w:spacing w:after="0" w:line="244" w:lineRule="auto"/>
        <w:tabs>
          <w:tab w:leader="none" w:pos="114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xml:space="preserve"> means any Executive Officer. A person’s status as a Covered Person with respect to Erroneously Awarded Compensation shall be determined as of the time of receipt of such Erroneously Awarded Compensation regardless of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ind w:left="383"/>
        <w:spacing w:after="0" w:line="236" w:lineRule="auto"/>
        <w:rPr>
          <w:sz w:val="20"/>
          <w:szCs w:val="20"/>
          <w:color w:val="auto"/>
        </w:rPr>
      </w:pPr>
      <w:r>
        <w:rPr>
          <w:rFonts w:ascii="Times New Roman" w:cs="Times New Roman" w:eastAsia="Times New Roman" w:hAnsi="Times New Roman"/>
          <w:sz w:val="22"/>
          <w:szCs w:val="22"/>
          <w:color w:val="auto"/>
        </w:rPr>
        <w:t>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81" w:lineRule="exact"/>
        <w:rPr>
          <w:sz w:val="20"/>
          <w:szCs w:val="20"/>
          <w:color w:val="auto"/>
        </w:rPr>
      </w:pPr>
    </w:p>
    <w:p>
      <w:pPr>
        <w:ind w:left="383" w:hanging="383"/>
        <w:spacing w:after="0"/>
        <w:tabs>
          <w:tab w:leader="none" w:pos="38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June 8, 2023.</w:t>
      </w:r>
    </w:p>
    <w:p>
      <w:pPr>
        <w:spacing w:after="0" w:line="206" w:lineRule="exact"/>
        <w:rPr>
          <w:rFonts w:ascii="Times New Roman" w:cs="Times New Roman" w:eastAsia="Times New Roman" w:hAnsi="Times New Roman"/>
          <w:sz w:val="22"/>
          <w:szCs w:val="22"/>
          <w:color w:val="auto"/>
        </w:rPr>
      </w:pPr>
    </w:p>
    <w:p>
      <w:pPr>
        <w:ind w:left="383" w:right="40" w:hanging="383"/>
        <w:spacing w:after="0" w:line="244" w:lineRule="auto"/>
        <w:tabs>
          <w:tab w:leader="none" w:pos="383"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Erroneously Awarded Compensation</w:t>
      </w:r>
      <w:r>
        <w:rPr>
          <w:rFonts w:ascii="Times New Roman" w:cs="Times New Roman" w:eastAsia="Times New Roman" w:hAnsi="Times New Roman"/>
          <w:sz w:val="21"/>
          <w:szCs w:val="21"/>
          <w:color w:val="auto"/>
        </w:rPr>
        <w:t>” means, with respect to a Material Financial Restatement,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received by a Covered Person prior to the Effective Date shall be subject to the Company’s Policy Regarding the Recoupment of Certain Performance-Based Compensation Payments, effective as of February 8, 2012.</w:t>
      </w:r>
    </w:p>
    <w:p>
      <w:pPr>
        <w:spacing w:after="0" w:line="183" w:lineRule="exact"/>
        <w:rPr>
          <w:rFonts w:ascii="Times New Roman" w:cs="Times New Roman" w:eastAsia="Times New Roman" w:hAnsi="Times New Roman"/>
          <w:sz w:val="21"/>
          <w:szCs w:val="21"/>
          <w:color w:val="auto"/>
        </w:rPr>
      </w:pPr>
    </w:p>
    <w:p>
      <w:pPr>
        <w:ind w:left="383" w:hanging="383"/>
        <w:spacing w:after="0"/>
        <w:tabs>
          <w:tab w:leader="none" w:pos="38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Nasdaq Stock Market LLC.</w:t>
      </w:r>
    </w:p>
    <w:p>
      <w:pPr>
        <w:spacing w:after="0" w:line="206" w:lineRule="exact"/>
        <w:rPr>
          <w:rFonts w:ascii="Times New Roman" w:cs="Times New Roman" w:eastAsia="Times New Roman" w:hAnsi="Times New Roman"/>
          <w:sz w:val="22"/>
          <w:szCs w:val="22"/>
          <w:color w:val="auto"/>
        </w:rPr>
      </w:pPr>
    </w:p>
    <w:p>
      <w:pPr>
        <w:ind w:left="383" w:right="40" w:hanging="383"/>
        <w:spacing w:after="0" w:line="234" w:lineRule="auto"/>
        <w:tabs>
          <w:tab w:leader="none" w:pos="38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person who served the Company in any of the following roles,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399"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727075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29" w:name="page130"/>
    <w:bookmarkEnd w:id="129"/>
    <w:p>
      <w:pPr>
        <w:ind w:left="1140" w:right="180" w:hanging="383"/>
        <w:spacing w:after="0" w:line="239" w:lineRule="auto"/>
        <w:tabs>
          <w:tab w:leader="none" w:pos="114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Measures</w:t>
      </w:r>
      <w:r>
        <w:rPr>
          <w:rFonts w:ascii="Times New Roman" w:cs="Times New Roman" w:eastAsia="Times New Roman" w:hAnsi="Times New Roman"/>
          <w:sz w:val="22"/>
          <w:szCs w:val="22"/>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80" w:lineRule="exact"/>
        <w:rPr>
          <w:rFonts w:ascii="Times New Roman" w:cs="Times New Roman" w:eastAsia="Times New Roman" w:hAnsi="Times New Roman"/>
          <w:sz w:val="22"/>
          <w:szCs w:val="22"/>
          <w:color w:val="auto"/>
        </w:rPr>
      </w:pPr>
    </w:p>
    <w:p>
      <w:pPr>
        <w:ind w:left="1140" w:right="100" w:hanging="383"/>
        <w:spacing w:after="0" w:line="239" w:lineRule="auto"/>
        <w:tabs>
          <w:tab w:leader="none" w:pos="114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provided, directly or indirectly, by the Company or any of its subsidiaries that is granted, earned, or vested based, in whole or in part, upon the attainment of a Financial Reporting Measure. Incentive-Based Compensation is deemed received, earned or vested when the Financial Reporting Measure is attained, not when the actual payment, grant or vesting occurs.</w:t>
      </w:r>
    </w:p>
    <w:p>
      <w:pPr>
        <w:spacing w:after="0" w:line="180" w:lineRule="exact"/>
        <w:rPr>
          <w:rFonts w:ascii="Times New Roman" w:cs="Times New Roman" w:eastAsia="Times New Roman" w:hAnsi="Times New Roman"/>
          <w:sz w:val="22"/>
          <w:szCs w:val="22"/>
          <w:color w:val="auto"/>
        </w:rPr>
      </w:pPr>
    </w:p>
    <w:p>
      <w:pPr>
        <w:ind w:left="1140" w:hanging="383"/>
        <w:spacing w:after="0" w:line="238" w:lineRule="auto"/>
        <w:tabs>
          <w:tab w:leader="none" w:pos="114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Material Financial Restatement</w:t>
      </w:r>
      <w:r>
        <w:rPr>
          <w:rFonts w:ascii="Times New Roman" w:cs="Times New Roman" w:eastAsia="Times New Roman" w:hAnsi="Times New Roman"/>
          <w:sz w:val="22"/>
          <w:szCs w:val="22"/>
          <w:color w:val="auto"/>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76" w:lineRule="exact"/>
        <w:rPr>
          <w:rFonts w:ascii="Times New Roman" w:cs="Times New Roman" w:eastAsia="Times New Roman" w:hAnsi="Times New Roman"/>
          <w:sz w:val="22"/>
          <w:szCs w:val="22"/>
          <w:color w:val="auto"/>
        </w:rPr>
      </w:pPr>
    </w:p>
    <w:p>
      <w:pPr>
        <w:ind w:left="1140" w:right="120" w:hanging="383"/>
        <w:spacing w:after="0" w:line="239" w:lineRule="auto"/>
        <w:tabs>
          <w:tab w:leader="none" w:pos="114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with respect to a Material Financial Restatement, the earlier to occur of: (i) the date the Board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w:t>
      </w:r>
    </w:p>
    <w:p>
      <w:pPr>
        <w:spacing w:after="0" w:line="17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10"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7" w:lineRule="exact"/>
        <w:rPr>
          <w:sz w:val="20"/>
          <w:szCs w:val="20"/>
          <w:color w:val="auto"/>
        </w:rPr>
      </w:pPr>
    </w:p>
    <w:p>
      <w:pPr>
        <w:ind w:left="440" w:hanging="432"/>
        <w:spacing w:after="0"/>
        <w:tabs>
          <w:tab w:leader="none" w:pos="44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Considerations</w:t>
      </w:r>
    </w:p>
    <w:p>
      <w:pPr>
        <w:spacing w:after="0" w:line="210" w:lineRule="exact"/>
        <w:rPr>
          <w:sz w:val="20"/>
          <w:szCs w:val="20"/>
          <w:color w:val="auto"/>
        </w:rPr>
      </w:pPr>
    </w:p>
    <w:p>
      <w:pPr>
        <w:ind w:right="340"/>
        <w:spacing w:after="0" w:line="244" w:lineRule="auto"/>
        <w:rPr>
          <w:sz w:val="20"/>
          <w:szCs w:val="20"/>
          <w:color w:val="auto"/>
        </w:rPr>
      </w:pPr>
      <w:r>
        <w:rPr>
          <w:rFonts w:ascii="Times New Roman" w:cs="Times New Roman" w:eastAsia="Times New Roman" w:hAnsi="Times New Roman"/>
          <w:sz w:val="22"/>
          <w:szCs w:val="22"/>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69" w:lineRule="exact"/>
        <w:rPr>
          <w:sz w:val="20"/>
          <w:szCs w:val="20"/>
          <w:color w:val="auto"/>
        </w:rPr>
      </w:pPr>
    </w:p>
    <w:p>
      <w:pPr>
        <w:ind w:left="440" w:hanging="432"/>
        <w:spacing w:after="0"/>
        <w:tabs>
          <w:tab w:leader="none" w:pos="44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30" w:name="page131"/>
    <w:bookmarkEnd w:id="130"/>
    <w:p>
      <w:pPr>
        <w:ind w:right="60"/>
        <w:spacing w:after="0" w:line="258"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8" w:lineRule="exact"/>
        <w:rPr>
          <w:sz w:val="20"/>
          <w:szCs w:val="20"/>
          <w:color w:val="auto"/>
        </w:rPr>
      </w:pPr>
    </w:p>
    <w:p>
      <w:pPr>
        <w:ind w:left="1500" w:hanging="369"/>
        <w:spacing w:after="0"/>
        <w:tabs>
          <w:tab w:leader="none" w:pos="1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206" w:lineRule="exact"/>
        <w:rPr>
          <w:rFonts w:ascii="Times New Roman" w:cs="Times New Roman" w:eastAsia="Times New Roman" w:hAnsi="Times New Roman"/>
          <w:sz w:val="22"/>
          <w:szCs w:val="22"/>
          <w:color w:val="auto"/>
        </w:rPr>
      </w:pPr>
    </w:p>
    <w:p>
      <w:pPr>
        <w:ind w:left="1500" w:right="220" w:hanging="369"/>
        <w:spacing w:after="0" w:line="258" w:lineRule="auto"/>
        <w:tabs>
          <w:tab w:leader="none" w:pos="1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setting-off against planned future grants of equity-based awards; and/or</w:t>
      </w:r>
    </w:p>
    <w:p>
      <w:pPr>
        <w:spacing w:after="0" w:line="206"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6" w:lineRule="exact"/>
        <w:rPr>
          <w:sz w:val="20"/>
          <w:szCs w:val="20"/>
          <w:color w:val="auto"/>
        </w:rPr>
      </w:pPr>
    </w:p>
    <w:p>
      <w:pPr>
        <w:ind w:left="440" w:hanging="432"/>
        <w:spacing w:after="0"/>
        <w:tabs>
          <w:tab w:leader="none" w:pos="44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10"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spacing w:after="0" w:line="179" w:lineRule="exact"/>
        <w:rPr>
          <w:sz w:val="20"/>
          <w:szCs w:val="20"/>
          <w:color w:val="auto"/>
        </w:rPr>
      </w:pPr>
    </w:p>
    <w:p>
      <w:pPr>
        <w:ind w:left="440" w:hanging="432"/>
        <w:spacing w:after="0"/>
        <w:tabs>
          <w:tab w:leader="none" w:pos="44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21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1" w:name="page132"/>
    <w:bookmarkEnd w:id="131"/>
    <w:p>
      <w:pPr>
        <w:spacing w:after="0" w:line="239" w:lineRule="auto"/>
        <w:rPr>
          <w:sz w:val="20"/>
          <w:szCs w:val="20"/>
          <w:color w:val="auto"/>
        </w:rPr>
      </w:pPr>
      <w:r>
        <w:rPr>
          <w:rFonts w:ascii="Times New Roman" w:cs="Times New Roman" w:eastAsia="Times New Roman" w:hAnsi="Times New Roman"/>
          <w:sz w:val="22"/>
          <w:szCs w:val="22"/>
          <w:color w:val="auto"/>
        </w:rPr>
        <w:t>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76" w:lineRule="exact"/>
        <w:rPr>
          <w:sz w:val="20"/>
          <w:szCs w:val="20"/>
          <w:color w:val="auto"/>
        </w:rPr>
      </w:pPr>
    </w:p>
    <w:p>
      <w:pPr>
        <w:ind w:left="440" w:hanging="432"/>
        <w:spacing w:after="0"/>
        <w:tabs>
          <w:tab w:leader="none" w:pos="44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Repayments not Subject to Indemnification</w:t>
      </w:r>
    </w:p>
    <w:p>
      <w:pPr>
        <w:spacing w:after="0" w:line="21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p>
      <w:pPr>
        <w:spacing w:after="0" w:line="3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08" w:right="619" w:bottom="1440" w:gutter="0" w:footer="0" w:header="0"/>
        </w:sectPr>
      </w:pPr>
    </w:p>
    <w:bookmarkStart w:id="132" w:name="page133"/>
    <w:bookmarkEnd w:id="1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o"/>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lowerRoman"/>
      <w:start w:val="4"/>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1"/>
      <w:numFmt w:val="upperLetter"/>
      <w:start w:val="35"/>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amp;"/>
      <w:numFmt w:val="bullet"/>
      <w:start w:val="1"/>
    </w:lvl>
  </w:abstractNum>
  <w:abstractNum w:abstractNumId="38">
    <w:nsid w:val="61574095"/>
    <w:multiLevelType w:val="hybridMultilevel"/>
    <w:lvl w:ilvl="0">
      <w:lvlJc w:val="left"/>
      <w:lvlText w:val="&amp;"/>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1)"/>
      <w:numFmt w:val="lowerLetter"/>
      <w:start w:val="1"/>
    </w:lvl>
  </w:abstractNum>
  <w:abstractNum w:abstractNumId="43">
    <w:nsid w:val="5FF87E05"/>
    <w:multiLevelType w:val="hybridMultilevel"/>
    <w:lvl w:ilvl="0">
      <w:lvlJc w:val="left"/>
      <w:lvlText w:val="(%1)"/>
      <w:numFmt w:val="lowerLetter"/>
      <w:start w:val="1"/>
    </w:lvl>
  </w:abstractNum>
  <w:abstractNum w:abstractNumId="44">
    <w:nsid w:val="2F305DEF"/>
    <w:multiLevelType w:val="hybridMultilevel"/>
    <w:lvl w:ilvl="0">
      <w:lvlJc w:val="left"/>
      <w:lvlText w:val="(%1)"/>
      <w:numFmt w:val="lowerLetter"/>
      <w:start w:val="2"/>
    </w:lvl>
  </w:abstractNum>
  <w:abstractNum w:abstractNumId="45">
    <w:nsid w:val="25A70BF7"/>
    <w:multiLevelType w:val="hybridMultilevel"/>
    <w:lvl w:ilvl="0">
      <w:lvlJc w:val="left"/>
      <w:lvlText w:val="(%1)"/>
      <w:numFmt w:val="lowerLetter"/>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1)"/>
      <w:numFmt w:val="decimal"/>
      <w:start w:val="3"/>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28"/>
    </w:lvl>
  </w:abstractNum>
  <w:abstractNum w:abstractNumId="52">
    <w:nsid w:val="6590700B"/>
    <w:multiLevelType w:val="hybridMultilevel"/>
    <w:lvl w:ilvl="0">
      <w:lvlJc w:val="left"/>
      <w:lvlText w:val="%1."/>
      <w:numFmt w:val="decimal"/>
      <w:start w:val="1"/>
    </w:lvl>
    <w:lvl w:ilvl="1">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1."/>
      <w:numFmt w:val="decimal"/>
      <w:start w:val="2"/>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1."/>
      <w:numFmt w:val="decimal"/>
      <w:start w:val="3"/>
    </w:lvl>
    <w:lvl w:ilvl="1">
      <w:lvlJc w:val="left"/>
      <w:lvlText w:val="%2."/>
      <w:numFmt w:val="lowerLetter"/>
      <w:start w:val="1"/>
    </w:lvl>
  </w:abstractNum>
  <w:abstractNum w:abstractNumId="57">
    <w:nsid w:val="6B94764"/>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1."/>
      <w:numFmt w:val="lowerLetter"/>
      <w:start w:val="2"/>
    </w:lvl>
    <w:lvl w:ilvl="1">
      <w:lvlJc w:val="left"/>
      <w:lvlText w:val="•"/>
      <w:numFmt w:val="bullet"/>
      <w:start w:val="1"/>
    </w:lvl>
  </w:abstractNum>
  <w:abstractNum w:abstractNumId="60">
    <w:nsid w:val="1EBA5D23"/>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61">
    <w:nsid w:val="661E3F1E"/>
    <w:multiLevelType w:val="hybridMultilevel"/>
    <w:lvl w:ilvl="0">
      <w:lvlJc w:val="left"/>
      <w:lvlText w:val="%1."/>
      <w:numFmt w:val="lowerLetter"/>
      <w:start w:val="2"/>
    </w:lvl>
  </w:abstractNum>
  <w:abstractNum w:abstractNumId="62">
    <w:nsid w:val="5DC79EA8"/>
    <w:multiLevelType w:val="hybridMultilevel"/>
    <w:lvl w:ilvl="0">
      <w:lvlJc w:val="left"/>
      <w:lvlText w:val="%1."/>
      <w:numFmt w:val="lowerLetter"/>
      <w:start w:val="3"/>
    </w:lvl>
  </w:abstractNum>
  <w:abstractNum w:abstractNumId="63">
    <w:nsid w:val="540A471C"/>
    <w:multiLevelType w:val="hybridMultilevel"/>
    <w:lvl w:ilvl="0">
      <w:lvlJc w:val="left"/>
      <w:lvlText w:val="%1."/>
      <w:numFmt w:val="decimal"/>
      <w:start w:val="8"/>
    </w:lvl>
  </w:abstractNum>
  <w:abstractNum w:abstractNumId="64">
    <w:nsid w:val="7BD3EE7B"/>
    <w:multiLevelType w:val="hybridMultilevel"/>
    <w:lvl w:ilvl="0">
      <w:lvlJc w:val="left"/>
      <w:lvlText w:val="%1."/>
      <w:numFmt w:val="decimal"/>
      <w:start w:val="15"/>
    </w:lvl>
  </w:abstractNum>
  <w:abstractNum w:abstractNumId="65">
    <w:nsid w:val="51D9C564"/>
    <w:multiLevelType w:val="hybridMultilevel"/>
    <w:lvl w:ilvl="0">
      <w:lvlJc w:val="left"/>
      <w:lvlText w:val="%1."/>
      <w:numFmt w:val="decimal"/>
      <w:start w:val="18"/>
    </w:lvl>
  </w:abstractNum>
  <w:abstractNum w:abstractNumId="66">
    <w:nsid w:val="613EFDC5"/>
    <w:multiLevelType w:val="hybridMultilevel"/>
    <w:lvl w:ilvl="0">
      <w:lvlJc w:val="left"/>
      <w:lvlText w:val="%1."/>
      <w:numFmt w:val="lowerLetter"/>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decimal"/>
      <w:start w:val="1"/>
    </w:lvl>
    <w:lvl w:ilvl="1">
      <w:lvlJc w:val="left"/>
      <w:lvlText w:val="%2)"/>
      <w:numFmt w:val="lowerLetter"/>
      <w:start w:val="1"/>
    </w:lvl>
  </w:abstractNum>
  <w:abstractNum w:abstractNumId="70">
    <w:nsid w:val="A0382C5"/>
    <w:multiLevelType w:val="hybridMultilevel"/>
    <w:lvl w:ilvl="0">
      <w:lvlJc w:val="left"/>
      <w:lvlText w:val="%1."/>
      <w:numFmt w:val="decimal"/>
      <w:start w:val="1"/>
    </w:lvl>
    <w:lvl w:ilvl="1">
      <w:lvlJc w:val="left"/>
      <w:lvlText w:val="%2)"/>
      <w:numFmt w:val="lowerLetter"/>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1."/>
      <w:numFmt w:val="decimal"/>
      <w:start w:val="2"/>
    </w:lvl>
  </w:abstractNum>
  <w:abstractNum w:abstractNumId="75">
    <w:nsid w:val="4962813B"/>
    <w:multiLevelType w:val="hybridMultilevel"/>
    <w:lvl w:ilvl="0">
      <w:lvlJc w:val="left"/>
      <w:lvlText w:val="%1."/>
      <w:numFmt w:val="decimal"/>
      <w:start w:val="3"/>
    </w:lvl>
    <w:lvl w:ilvl="1">
      <w:lvlJc w:val="left"/>
      <w:lvlText w:val="%2."/>
      <w:numFmt w:val="lowerLetter"/>
      <w:start w:val="1"/>
    </w:lvl>
  </w:abstractNum>
  <w:abstractNum w:abstractNumId="76">
    <w:nsid w:val="60B6DF70"/>
    <w:multiLevelType w:val="hybridMultilevel"/>
    <w:lvl w:ilvl="0">
      <w:lvlJc w:val="left"/>
      <w:lvlText w:val="%1."/>
      <w:numFmt w:val="lowerLetter"/>
      <w:start w:val="6"/>
    </w:lvl>
  </w:abstractNum>
  <w:abstractNum w:abstractNumId="77">
    <w:nsid w:val="6A5EE64"/>
    <w:multiLevelType w:val="hybridMultilevel"/>
    <w:lvl w:ilvl="0">
      <w:lvlJc w:val="left"/>
      <w:lvlText w:val="%1"/>
      <w:numFmt w:val="decimal"/>
      <w:start w:val="1"/>
    </w:lvl>
    <w:lvl w:ilvl="1">
      <w:lvlJc w:val="left"/>
      <w:lvlText w:val="%2."/>
      <w:numFmt w:val="lowerLetter"/>
      <w:start w:val="10"/>
    </w:lvl>
  </w:abstractNum>
  <w:abstractNum w:abstractNumId="78">
    <w:nsid w:val="14330624"/>
    <w:multiLevelType w:val="hybridMultilevel"/>
    <w:lvl w:ilvl="0">
      <w:lvlJc w:val="left"/>
      <w:lvlText w:val="%1."/>
      <w:numFmt w:val="decimal"/>
      <w:start w:val="4"/>
    </w:lvl>
    <w:lvl w:ilvl="1">
      <w:lvlJc w:val="left"/>
      <w:lvlText w:val="%2"/>
      <w:numFmt w:val="lowerLetter"/>
      <w:start w:val="1"/>
    </w:lvl>
  </w:abstractNum>
  <w:abstractNum w:abstractNumId="79">
    <w:nsid w:val="7FFFCA11"/>
    <w:multiLevelType w:val="hybridMultilevel"/>
    <w:lvl w:ilvl="0">
      <w:lvlJc w:val="left"/>
      <w:lvlText w:val="%1."/>
      <w:numFmt w:val="decimal"/>
      <w:start w:val="5"/>
    </w:lvl>
  </w:abstractNum>
  <w:abstractNum w:abstractNumId="80">
    <w:nsid w:val="1A27709E"/>
    <w:multiLevelType w:val="hybridMultilevel"/>
    <w:lvl w:ilvl="0">
      <w:lvlJc w:val="left"/>
      <w:lvlText w:val="%1."/>
      <w:numFmt w:val="decimal"/>
      <w:start w:val="6"/>
    </w:lvl>
  </w:abstractNum>
  <w:abstractNum w:abstractNumId="81">
    <w:nsid w:val="71EA1109"/>
    <w:multiLevelType w:val="hybridMultilevel"/>
    <w:lvl w:ilvl="0">
      <w:lvlJc w:val="left"/>
      <w:lvlText w:val="%1."/>
      <w:numFmt w:val="lowerLetter"/>
      <w:start w:val="1"/>
    </w:lvl>
  </w:abstractNum>
  <w:abstractNum w:abstractNumId="82">
    <w:nsid w:val="100F59DC"/>
    <w:multiLevelType w:val="hybridMultilevel"/>
    <w:lvl w:ilvl="0">
      <w:lvlJc w:val="left"/>
      <w:lvlText w:val="%1."/>
      <w:numFmt w:val="decimal"/>
      <w:start w:val="7"/>
    </w:lvl>
  </w:abstractNum>
  <w:abstractNum w:abstractNumId="83">
    <w:nsid w:val="7FB7E0AA"/>
    <w:multiLevelType w:val="hybridMultilevel"/>
    <w:lvl w:ilvl="0">
      <w:lvlJc w:val="left"/>
      <w:lvlText w:val="%1."/>
      <w:numFmt w:val="decimal"/>
      <w:start w:val="8"/>
    </w:lvl>
  </w:abstractNum>
  <w:abstractNum w:abstractNumId="84">
    <w:nsid w:val="6EB5BD4"/>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29" Type="http://schemas.openxmlformats.org/officeDocument/2006/relationships/image" Target="media/image308.png"/><Relationship Id="rId353" Type="http://schemas.openxmlformats.org/officeDocument/2006/relationships/image" Target="media/image309.png"/><Relationship Id="rId370" Type="http://schemas.openxmlformats.org/officeDocument/2006/relationships/image" Target="media/image310.png"/><Relationship Id="rId371" Type="http://schemas.openxmlformats.org/officeDocument/2006/relationships/image" Target="media/image311.png"/><Relationship Id="rId372" Type="http://schemas.openxmlformats.org/officeDocument/2006/relationships/image" Target="media/image312.png"/><Relationship Id="rId373" Type="http://schemas.openxmlformats.org/officeDocument/2006/relationships/image" Target="media/image313.png"/><Relationship Id="rId374" Type="http://schemas.openxmlformats.org/officeDocument/2006/relationships/image" Target="media/image314.png"/><Relationship Id="rId375" Type="http://schemas.openxmlformats.org/officeDocument/2006/relationships/image" Target="media/image315.png"/><Relationship Id="rId376" Type="http://schemas.openxmlformats.org/officeDocument/2006/relationships/image" Target="media/image316.png"/><Relationship Id="rId377" Type="http://schemas.openxmlformats.org/officeDocument/2006/relationships/image" Target="media/image317.png"/><Relationship Id="rId378" Type="http://schemas.openxmlformats.org/officeDocument/2006/relationships/image" Target="media/image318.png"/><Relationship Id="rId379" Type="http://schemas.openxmlformats.org/officeDocument/2006/relationships/image" Target="media/image319.png"/><Relationship Id="rId380" Type="http://schemas.openxmlformats.org/officeDocument/2006/relationships/image" Target="media/image320.png"/><Relationship Id="rId381" Type="http://schemas.openxmlformats.org/officeDocument/2006/relationships/image" Target="media/image321.png"/><Relationship Id="rId382" Type="http://schemas.openxmlformats.org/officeDocument/2006/relationships/image" Target="media/image322.png"/><Relationship Id="rId383" Type="http://schemas.openxmlformats.org/officeDocument/2006/relationships/image" Target="media/image323.png"/><Relationship Id="rId384" Type="http://schemas.openxmlformats.org/officeDocument/2006/relationships/image" Target="media/image324.png"/><Relationship Id="rId385" Type="http://schemas.openxmlformats.org/officeDocument/2006/relationships/image" Target="media/image325.png"/><Relationship Id="rId386" Type="http://schemas.openxmlformats.org/officeDocument/2006/relationships/image" Target="media/image326.png"/><Relationship Id="rId387" Type="http://schemas.openxmlformats.org/officeDocument/2006/relationships/image" Target="media/image327.png"/><Relationship Id="rId388" Type="http://schemas.openxmlformats.org/officeDocument/2006/relationships/image" Target="media/image328.png"/><Relationship Id="rId389" Type="http://schemas.openxmlformats.org/officeDocument/2006/relationships/image" Target="media/image329.png"/><Relationship Id="rId390" Type="http://schemas.openxmlformats.org/officeDocument/2006/relationships/image" Target="media/image330.png"/><Relationship Id="rId391" Type="http://schemas.openxmlformats.org/officeDocument/2006/relationships/image" Target="media/image331.png"/><Relationship Id="rId392" Type="http://schemas.openxmlformats.org/officeDocument/2006/relationships/image" Target="media/image332.png"/><Relationship Id="rId393" Type="http://schemas.openxmlformats.org/officeDocument/2006/relationships/image" Target="media/image333.png"/><Relationship Id="rId394" Type="http://schemas.openxmlformats.org/officeDocument/2006/relationships/image" Target="media/image334.png"/><Relationship Id="rId395" Type="http://schemas.openxmlformats.org/officeDocument/2006/relationships/image" Target="media/image335.png"/><Relationship Id="rId396" Type="http://schemas.openxmlformats.org/officeDocument/2006/relationships/image" Target="media/image336.png"/><Relationship Id="rId397" Type="http://schemas.openxmlformats.org/officeDocument/2006/relationships/image" Target="media/image337.png"/><Relationship Id="rId398" Type="http://schemas.openxmlformats.org/officeDocument/2006/relationships/image" Target="media/image338.png"/><Relationship Id="rId399" Type="http://schemas.openxmlformats.org/officeDocument/2006/relationships/image" Target="media/image339.png"/><Relationship Id="rId400" Type="http://schemas.openxmlformats.org/officeDocument/2006/relationships/image" Target="media/image340.png"/><Relationship Id="rId401" Type="http://schemas.openxmlformats.org/officeDocument/2006/relationships/image" Target="media/image341.png"/><Relationship Id="rId402" Type="http://schemas.openxmlformats.org/officeDocument/2006/relationships/image" Target="media/image342.png"/><Relationship Id="rId403" Type="http://schemas.openxmlformats.org/officeDocument/2006/relationships/image" Target="media/image343.png"/><Relationship Id="rId404" Type="http://schemas.openxmlformats.org/officeDocument/2006/relationships/image" Target="media/image344.png"/><Relationship Id="rId405" Type="http://schemas.openxmlformats.org/officeDocument/2006/relationships/image" Target="media/image345.png"/><Relationship Id="rId406" Type="http://schemas.openxmlformats.org/officeDocument/2006/relationships/image" Target="media/image346.png"/><Relationship Id="rId407" Type="http://schemas.openxmlformats.org/officeDocument/2006/relationships/image" Target="media/image347.png"/><Relationship Id="rId315" Type="http://schemas.openxmlformats.org/officeDocument/2006/relationships/hyperlink" Target="https://www.sec.gov/Archives/edgar/data/906709/0001047469-98-031070.txt" TargetMode="External"/><Relationship Id="rId316" Type="http://schemas.openxmlformats.org/officeDocument/2006/relationships/hyperlink" Target="https://www.sec.gov/Archives/edgar/data/906709/000091205700037283/ex-3_3.txt" TargetMode="External"/><Relationship Id="rId317" Type="http://schemas.openxmlformats.org/officeDocument/2006/relationships/hyperlink" Target="https://www.sec.gov/Archives/edgar/data/906709/000104746903002325/a2101294zex-3_1.htm" TargetMode="External"/><Relationship Id="rId318" Type="http://schemas.openxmlformats.org/officeDocument/2006/relationships/hyperlink" Target="https://www.sec.gov/Archives/edgar/data/906709/000114420410011093/v176023_ex3-6.htm" TargetMode="External"/><Relationship Id="rId319" Type="http://schemas.openxmlformats.org/officeDocument/2006/relationships/hyperlink" Target="https://www.sec.gov/Archives/edgar/data/906709/000121390022080498/ea170222ex3-1_nektartherap.htm" TargetMode="External"/><Relationship Id="rId320" Type="http://schemas.openxmlformats.org/officeDocument/2006/relationships/hyperlink" Target="https://www.sec.gov/Archives/edgar/data/906709/000121390020043821/ea132008ex3-1_nektartherap.htm" TargetMode="External"/><Relationship Id="rId321" Type="http://schemas.openxmlformats.org/officeDocument/2006/relationships/hyperlink" Target="https://www.sec.gov/Archives/edgar/data/906709/000104746903002325/a2101294zex-4_1.htm" TargetMode="External"/><Relationship Id="rId322" Type="http://schemas.openxmlformats.org/officeDocument/2006/relationships/hyperlink" Target="https://www.sec.gov/Archives/edgar/data/906709/000161577415002842/s101972_ex10-2.htm" TargetMode="External"/><Relationship Id="rId323" Type="http://schemas.openxmlformats.org/officeDocument/2006/relationships/hyperlink" Target="https://www.sec.gov/Archives/edgar/data/906709/000090670920000004/nktr20191231ex44.htm" TargetMode="External"/><Relationship Id="rId324" Type="http://schemas.openxmlformats.org/officeDocument/2006/relationships/hyperlink" Target="https://www.sec.gov/Archives/edgar/data/906709/000119312512089389/d262604dex107.htm" TargetMode="External"/><Relationship Id="rId325" Type="http://schemas.openxmlformats.org/officeDocument/2006/relationships/hyperlink" Target="https://www.sec.gov/Archives/edgar/data/906709/000119312512089389/d262604dex108.htm" TargetMode="External"/><Relationship Id="rId326" Type="http://schemas.openxmlformats.org/officeDocument/2006/relationships/hyperlink" Target="https://www.sec.gov/Archives/edgar/data/906709/000161577415001516/s101346_ex10-1.htm" TargetMode="External"/><Relationship Id="rId327" Type="http://schemas.openxmlformats.org/officeDocument/2006/relationships/hyperlink" Target="https://www.sec.gov/Archives/edgar/data/906709/000161577415003667/s102370_ex10-1.htm" TargetMode="External"/><Relationship Id="rId328" Type="http://schemas.openxmlformats.org/officeDocument/2006/relationships/hyperlink" Target="https://www.sec.gov/Archives/edgar/data/906709/000121390025073234/ea025212701ex4-8_nektar.htm" TargetMode="External"/><Relationship Id="rId330" Type="http://schemas.openxmlformats.org/officeDocument/2006/relationships/hyperlink" Target="https://www.sec.gov/Archives/edgar/data/906709/000156459019005639/nktr-ex109_7.htm" TargetMode="External"/><Relationship Id="rId331" Type="http://schemas.openxmlformats.org/officeDocument/2006/relationships/hyperlink" Target="https://www.sec.gov/Archives/edgar/data/906709/000090670920000014/nktr-2020x06x30xexx102.htm" TargetMode="External"/><Relationship Id="rId332" Type="http://schemas.openxmlformats.org/officeDocument/2006/relationships/hyperlink" Target="https://www.sec.gov/Archives/edgar/data/0000906709/000090670920000009/nktr2020-03x31ex101.htm" TargetMode="External"/><Relationship Id="rId333" Type="http://schemas.openxmlformats.org/officeDocument/2006/relationships/hyperlink" Target="https://www.sec.gov/Archives/edgar/data/906709/000110465904022735/a04-8706_1ex10d4.htm" TargetMode="External"/><Relationship Id="rId334" Type="http://schemas.openxmlformats.org/officeDocument/2006/relationships/hyperlink" Target="https://www.sec.gov/Archives/edgar/data/906709/000119312507240872/dex104.htm" TargetMode="External"/><Relationship Id="rId335" Type="http://schemas.openxmlformats.org/officeDocument/2006/relationships/hyperlink" Target="https://www.sec.gov/Archives/edgar/data/906709/000136231009003350/c82049exv10w26.htm" TargetMode="External"/><Relationship Id="rId336" Type="http://schemas.openxmlformats.org/officeDocument/2006/relationships/hyperlink" Target="https://www.sec.gov/Archives/edgar/data/906709/000136231009003350/c82049exv10w27.htm" TargetMode="External"/><Relationship Id="rId337" Type="http://schemas.openxmlformats.org/officeDocument/2006/relationships/hyperlink" Target="https://www.sec.gov/Archives/edgar/data/906709/000095012311020657/f57959exv10w22.htm" TargetMode="External"/><Relationship Id="rId338" Type="http://schemas.openxmlformats.org/officeDocument/2006/relationships/hyperlink" Target="https://www.sec.gov/Archives/edgar/data/906709/000090670920000004/nktr20191231ex1017.htm" TargetMode="External"/><Relationship Id="rId339" Type="http://schemas.openxmlformats.org/officeDocument/2006/relationships/hyperlink" Target="https://www.sec.gov/Archives/edgar/data/906709/000090670919000010/nktr2019-09x30xexx101.htm" TargetMode="External"/><Relationship Id="rId340" Type="http://schemas.openxmlformats.org/officeDocument/2006/relationships/hyperlink" Target="https://www.sec.gov/Archives/edgar/data/906709/000090670920000004/nktr20191231ex1019.htm" TargetMode="External"/><Relationship Id="rId341" Type="http://schemas.openxmlformats.org/officeDocument/2006/relationships/hyperlink" Target="https://www.sec.gov/Archives/edgar/data/906709/000119312507240872/dex108.htm" TargetMode="External"/><Relationship Id="rId342" Type="http://schemas.openxmlformats.org/officeDocument/2006/relationships/hyperlink" Target="https://www.sec.gov/Archives/edgar/data/906709/000119312506167850/dex102.htm" TargetMode="External"/><Relationship Id="rId343" Type="http://schemas.openxmlformats.org/officeDocument/2006/relationships/hyperlink" Target="https://www.sec.gov/Archives/edgar/data/906709/000136231009003350/c82049exv10w34.htm" TargetMode="External"/><Relationship Id="rId344" Type="http://schemas.openxmlformats.org/officeDocument/2006/relationships/hyperlink" Target="https://www.sec.gov/Archives/edgar/data/906709/000136231009003350/c82049exv10w35.htm" TargetMode="External"/><Relationship Id="rId345" Type="http://schemas.openxmlformats.org/officeDocument/2006/relationships/hyperlink" Target="https://www.sec.gov/Archives/edgar/data/906709/000095012311020657/f57959exv10w31.htm" TargetMode="External"/><Relationship Id="rId346" Type="http://schemas.openxmlformats.org/officeDocument/2006/relationships/hyperlink" Target="https://www.sec.gov/Archives/edgar/data/906709/000114420409056637/v164533_ex10-1.htm" TargetMode="External"/><Relationship Id="rId347" Type="http://schemas.openxmlformats.org/officeDocument/2006/relationships/hyperlink" Target="https://www.sec.gov/Archives/edgar/data/906709/000156459016022647/nktr-ex101_193.htm" TargetMode="External"/><Relationship Id="rId348" Type="http://schemas.openxmlformats.org/officeDocument/2006/relationships/hyperlink" Target="https://www.sec.gov/Archives/edgar/data/906709/000156459017022445/nktr-ex101_179.htm" TargetMode="External"/><Relationship Id="rId349" Type="http://schemas.openxmlformats.org/officeDocument/2006/relationships/hyperlink" Target="https://www.sec.gov/Archives/edgar/data/906709/000161577415002842/s101972_ex10-1.htm" TargetMode="External"/><Relationship Id="rId350" Type="http://schemas.openxmlformats.org/officeDocument/2006/relationships/hyperlink" Target="https://www.sec.gov/Archives/edgar/data/906709/000161577415002842/s101972_ex10-3.htm" TargetMode="External"/><Relationship Id="rId351" Type="http://schemas.openxmlformats.org/officeDocument/2006/relationships/hyperlink" Target="https://www.sec.gov/Archives/edgar/data/906709/000119312512209441/d311622dex101.htm" TargetMode="External"/><Relationship Id="rId352" Type="http://schemas.openxmlformats.org/officeDocument/2006/relationships/hyperlink" Target="https://www.sec.gov/Archives/edgar/data/906709/000119312513433110/d594595dex101.htm" TargetMode="External"/><Relationship Id="rId354" Type="http://schemas.openxmlformats.org/officeDocument/2006/relationships/hyperlink" Target="https://www.sec.gov/Archives/edgar/data/906709/000156459018012975/nktr-ex41_103.htm" TargetMode="External"/><Relationship Id="rId355" Type="http://schemas.openxmlformats.org/officeDocument/2006/relationships/hyperlink" Target="https://www.sec.gov/Archives/edgar/data/906709/000156459018012975/nktr-ex101_104.htm" TargetMode="External"/><Relationship Id="rId356" Type="http://schemas.openxmlformats.org/officeDocument/2006/relationships/hyperlink" Target="https://www.sec.gov/Archives/edgar/data/0000906709/000090670921000005/nktr20201231-exx1035.htm" TargetMode="External"/><Relationship Id="rId357" Type="http://schemas.openxmlformats.org/officeDocument/2006/relationships/hyperlink" Target="https://www.sec.gov/Archives/edgar/data/906709/000090670920000004/nktr20191213ex1035.htm" TargetMode="External"/><Relationship Id="rId358" Type="http://schemas.openxmlformats.org/officeDocument/2006/relationships/hyperlink" Target="https://www.sec.gov/Archives/edgar/data/906709/000119312518044320/d499642dex101.htm" TargetMode="External"/><Relationship Id="rId359" Type="http://schemas.openxmlformats.org/officeDocument/2006/relationships/hyperlink" Target="https://www.sec.gov/Archives/edgar/data/906709/000156459018020709/nktr-ex101_86.htm" TargetMode="External"/><Relationship Id="rId360" Type="http://schemas.openxmlformats.org/officeDocument/2006/relationships/hyperlink" Target="https://www.sec.gov/Archives/edgar/data/906709/000090670921000005/nktr20201231-exx1039.htm" TargetMode="External"/><Relationship Id="rId361" Type="http://schemas.openxmlformats.org/officeDocument/2006/relationships/hyperlink" Target="https://www.sec.gov/Archives/edgar/data/906709/000090670922000005/nktr20211231-exx1040.htm" TargetMode="External"/><Relationship Id="rId362" Type="http://schemas.openxmlformats.org/officeDocument/2006/relationships/hyperlink" Target="https://www.sec.gov/Archives/edgar/data/906709/000090670922000014/nktr2022-06x30xexx102north.htm" TargetMode="External"/><Relationship Id="rId363" Type="http://schemas.openxmlformats.org/officeDocument/2006/relationships/hyperlink" Target="https://www.sec.gov/Archives/edgar/data/906709/000090670923000008/nktr2023-03x31xexx1011.htm" TargetMode="External"/><Relationship Id="rId364" Type="http://schemas.openxmlformats.org/officeDocument/2006/relationships/hyperlink" Target="https://www.sec.gov/Archives/edgar/data/906709/000090670923000012/thomsenemploymentseparatio.htm" TargetMode="External"/><Relationship Id="rId365" Type="http://schemas.openxmlformats.org/officeDocument/2006/relationships/hyperlink" Target="https://www.sec.gov/Archives/edgar/data/906709/000095017023060475/nktr-ex10_6.htm" TargetMode="External"/><Relationship Id="rId366" Type="http://schemas.openxmlformats.org/officeDocument/2006/relationships/hyperlink" Target="https://www.sec.gov/ix?doc=/Archives/edgar/data/906709/000095017024057312/nktr-20240331.htm" TargetMode="External"/><Relationship Id="rId367" Type="http://schemas.openxmlformats.org/officeDocument/2006/relationships/hyperlink" Target="https://www.sec.gov/ix?doc=/Archives/edgar/data/906709/000121390024093768/ea0219747-8k_nektar.htm" TargetMode="External"/><Relationship Id="rId368" Type="http://schemas.openxmlformats.org/officeDocument/2006/relationships/hyperlink" Target="https://www.sec.gov/Archives/edgar/data/906709/000095017025039389/nktr-ex19_1.htm" TargetMode="External"/><Relationship Id="rId369" Type="http://schemas.openxmlformats.org/officeDocument/2006/relationships/hyperlink" Target="https://www.sec.gov/Archives/edgar/data/906709/000095017025039389/nktr-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2026-03-13T05:28:31Z</dcterms:created>
  <dcterms:modified xsi:type="dcterms:W3CDTF">2026-03-13T05:28:31Z</dcterms:modified>
</cp:coreProperties>
</file>